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00" w:rsidRDefault="00591F00">
      <w:pPr>
        <w:rPr>
          <w:noProof/>
          <w:lang w:eastAsia="en-GB"/>
        </w:rPr>
      </w:pPr>
      <w:r>
        <w:rPr>
          <w:noProof/>
          <w:lang w:eastAsia="en-GB"/>
        </w:rPr>
        <w:drawing>
          <wp:anchor distT="0" distB="0" distL="114300" distR="114300" simplePos="0" relativeHeight="251659264" behindDoc="0" locked="1" layoutInCell="1" allowOverlap="1" wp14:anchorId="790D12E2" wp14:editId="059A55E0">
            <wp:simplePos x="0" y="0"/>
            <wp:positionH relativeFrom="column">
              <wp:posOffset>51435</wp:posOffset>
            </wp:positionH>
            <wp:positionV relativeFrom="page">
              <wp:posOffset>897890</wp:posOffset>
            </wp:positionV>
            <wp:extent cx="5655310" cy="952500"/>
            <wp:effectExtent l="0" t="0" r="2540" b="0"/>
            <wp:wrapNone/>
            <wp:docPr id="4" name="Picture 4"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6553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F00" w:rsidRDefault="00591F00"/>
    <w:p w:rsidR="00591F00" w:rsidRDefault="00591F00"/>
    <w:p w:rsidR="00591F00" w:rsidRDefault="00591F00"/>
    <w:p w:rsidR="00591F00" w:rsidRDefault="00591F00"/>
    <w:tbl>
      <w:tblPr>
        <w:tblW w:w="10456" w:type="dxa"/>
        <w:tblLayout w:type="fixed"/>
        <w:tblLook w:val="0000" w:firstRow="0" w:lastRow="0" w:firstColumn="0" w:lastColumn="0" w:noHBand="0" w:noVBand="0"/>
      </w:tblPr>
      <w:tblGrid>
        <w:gridCol w:w="3456"/>
        <w:gridCol w:w="202"/>
        <w:gridCol w:w="4852"/>
        <w:gridCol w:w="430"/>
        <w:gridCol w:w="67"/>
        <w:gridCol w:w="1449"/>
      </w:tblGrid>
      <w:tr w:rsidR="00591F00" w:rsidTr="00EC0C14">
        <w:trPr>
          <w:gridAfter w:val="1"/>
          <w:wAfter w:w="1449" w:type="dxa"/>
          <w:trHeight w:val="652"/>
        </w:trPr>
        <w:tc>
          <w:tcPr>
            <w:tcW w:w="3658" w:type="dxa"/>
            <w:gridSpan w:val="2"/>
            <w:tcBorders>
              <w:bottom w:val="single" w:sz="18" w:space="0" w:color="auto"/>
            </w:tcBorders>
          </w:tcPr>
          <w:p w:rsidR="00591F00" w:rsidRPr="00B805DB" w:rsidRDefault="00591F00" w:rsidP="00D45D03">
            <w:pPr>
              <w:pStyle w:val="Infotext"/>
              <w:rPr>
                <w:rFonts w:ascii="Arial Black" w:hAnsi="Arial Black" w:cs="Arial"/>
                <w:sz w:val="36"/>
                <w:szCs w:val="36"/>
              </w:rPr>
            </w:pPr>
          </w:p>
        </w:tc>
        <w:tc>
          <w:tcPr>
            <w:tcW w:w="5349" w:type="dxa"/>
            <w:gridSpan w:val="3"/>
            <w:tcBorders>
              <w:bottom w:val="single" w:sz="18" w:space="0" w:color="auto"/>
            </w:tcBorders>
          </w:tcPr>
          <w:p w:rsidR="00591F00" w:rsidRPr="005E3A10" w:rsidRDefault="00591F00" w:rsidP="00D45D03">
            <w:pPr>
              <w:rPr>
                <w:rFonts w:ascii="Arial Black" w:hAnsi="Arial Black" w:cs="Arial"/>
                <w:szCs w:val="24"/>
              </w:rPr>
            </w:pPr>
          </w:p>
        </w:tc>
      </w:tr>
      <w:tr w:rsidR="00696FC4" w:rsidTr="00EC0C14">
        <w:trPr>
          <w:gridAfter w:val="2"/>
          <w:wAfter w:w="1516" w:type="dxa"/>
          <w:trHeight w:val="900"/>
        </w:trPr>
        <w:tc>
          <w:tcPr>
            <w:tcW w:w="3456" w:type="dxa"/>
            <w:tcBorders>
              <w:bottom w:val="single" w:sz="18" w:space="0" w:color="auto"/>
            </w:tcBorders>
          </w:tcPr>
          <w:p w:rsidR="00696FC4" w:rsidRPr="00074EF4" w:rsidRDefault="00696FC4">
            <w:pPr>
              <w:pStyle w:val="Infotext"/>
              <w:rPr>
                <w:rFonts w:ascii="Arial Black" w:hAnsi="Arial Black"/>
                <w:color w:val="808080" w:themeColor="background1" w:themeShade="80"/>
                <w:sz w:val="36"/>
                <w:szCs w:val="36"/>
              </w:rPr>
            </w:pPr>
            <w:r w:rsidRPr="00074EF4">
              <w:rPr>
                <w:rFonts w:ascii="Arial Black" w:hAnsi="Arial Black"/>
                <w:color w:val="808080" w:themeColor="background1" w:themeShade="80"/>
                <w:sz w:val="36"/>
                <w:szCs w:val="36"/>
              </w:rPr>
              <w:t>REPORT FOR:</w:t>
            </w:r>
          </w:p>
          <w:p w:rsidR="00696FC4" w:rsidRDefault="00696FC4">
            <w:pPr>
              <w:pStyle w:val="Infotext"/>
              <w:rPr>
                <w:rFonts w:ascii="Arial Black" w:hAnsi="Arial Black" w:cs="Arial"/>
                <w:sz w:val="36"/>
                <w:szCs w:val="36"/>
              </w:rPr>
            </w:pPr>
          </w:p>
        </w:tc>
        <w:tc>
          <w:tcPr>
            <w:tcW w:w="5484" w:type="dxa"/>
            <w:gridSpan w:val="3"/>
            <w:tcBorders>
              <w:bottom w:val="single" w:sz="18" w:space="0" w:color="auto"/>
            </w:tcBorders>
          </w:tcPr>
          <w:p w:rsidR="00696FC4" w:rsidRDefault="00696FC4">
            <w:pPr>
              <w:rPr>
                <w:rFonts w:ascii="Arial Black" w:hAnsi="Arial Black" w:cs="Arial"/>
                <w:sz w:val="36"/>
                <w:szCs w:val="36"/>
              </w:rPr>
            </w:pPr>
            <w:r>
              <w:rPr>
                <w:rFonts w:ascii="Arial Black" w:hAnsi="Arial Black" w:cs="Arial"/>
                <w:sz w:val="36"/>
                <w:szCs w:val="36"/>
              </w:rPr>
              <w:t>CABINET</w:t>
            </w:r>
          </w:p>
        </w:tc>
      </w:tr>
      <w:tr w:rsidR="00696FC4" w:rsidTr="00EC0C14">
        <w:trPr>
          <w:gridAfter w:val="2"/>
          <w:wAfter w:w="1516" w:type="dxa"/>
        </w:trPr>
        <w:tc>
          <w:tcPr>
            <w:tcW w:w="3456" w:type="dxa"/>
            <w:tcBorders>
              <w:top w:val="single" w:sz="18" w:space="0" w:color="auto"/>
            </w:tcBorders>
          </w:tcPr>
          <w:p w:rsidR="00696FC4" w:rsidRDefault="00696FC4">
            <w:pPr>
              <w:pStyle w:val="Infotext"/>
              <w:rPr>
                <w:rFonts w:ascii="Arial Black" w:hAnsi="Arial Black"/>
              </w:rPr>
            </w:pPr>
            <w:r>
              <w:rPr>
                <w:rFonts w:ascii="Arial Black" w:hAnsi="Arial Black"/>
              </w:rPr>
              <w:t>Date</w:t>
            </w:r>
            <w:r w:rsidR="00591F00">
              <w:rPr>
                <w:rFonts w:ascii="Arial Black" w:hAnsi="Arial Black"/>
              </w:rPr>
              <w:t xml:space="preserve"> of meeting</w:t>
            </w:r>
            <w:r>
              <w:rPr>
                <w:rFonts w:ascii="Arial Black" w:hAnsi="Arial Black"/>
              </w:rPr>
              <w:t>:</w:t>
            </w:r>
          </w:p>
          <w:p w:rsidR="00696FC4" w:rsidRDefault="00696FC4">
            <w:pPr>
              <w:pStyle w:val="Infotext"/>
              <w:rPr>
                <w:rFonts w:ascii="Arial Black" w:hAnsi="Arial Black" w:cs="Arial"/>
              </w:rPr>
            </w:pPr>
          </w:p>
        </w:tc>
        <w:tc>
          <w:tcPr>
            <w:tcW w:w="5484" w:type="dxa"/>
            <w:gridSpan w:val="3"/>
            <w:tcBorders>
              <w:top w:val="single" w:sz="18" w:space="0" w:color="auto"/>
            </w:tcBorders>
          </w:tcPr>
          <w:p w:rsidR="00696FC4" w:rsidRDefault="00D37115" w:rsidP="003B3607">
            <w:pPr>
              <w:rPr>
                <w:bCs/>
                <w:szCs w:val="24"/>
              </w:rPr>
            </w:pPr>
            <w:r>
              <w:rPr>
                <w:bCs/>
                <w:szCs w:val="24"/>
              </w:rPr>
              <w:t>06</w:t>
            </w:r>
            <w:r w:rsidR="00627565">
              <w:rPr>
                <w:bCs/>
                <w:szCs w:val="24"/>
              </w:rPr>
              <w:t xml:space="preserve"> </w:t>
            </w:r>
            <w:r>
              <w:rPr>
                <w:bCs/>
                <w:szCs w:val="24"/>
              </w:rPr>
              <w:t>Dec</w:t>
            </w:r>
            <w:r w:rsidR="00D32FE5">
              <w:rPr>
                <w:bCs/>
                <w:szCs w:val="24"/>
              </w:rPr>
              <w:t>ember</w:t>
            </w:r>
            <w:r w:rsidR="00627565">
              <w:rPr>
                <w:bCs/>
                <w:szCs w:val="24"/>
              </w:rPr>
              <w:t xml:space="preserve"> 2018</w:t>
            </w:r>
          </w:p>
          <w:p w:rsidR="00591F00" w:rsidRDefault="00591F00" w:rsidP="003B3607">
            <w:pPr>
              <w:rPr>
                <w:bCs/>
                <w:szCs w:val="24"/>
              </w:rPr>
            </w:pPr>
          </w:p>
          <w:p w:rsidR="00EF3848" w:rsidRPr="00EF3848" w:rsidRDefault="00EF3848" w:rsidP="003B3607">
            <w:pPr>
              <w:rPr>
                <w:rFonts w:cs="Arial"/>
                <w:b/>
              </w:rPr>
            </w:pPr>
          </w:p>
        </w:tc>
      </w:tr>
      <w:tr w:rsidR="00696FC4" w:rsidTr="00EC0C14">
        <w:trPr>
          <w:gridAfter w:val="2"/>
          <w:wAfter w:w="1516" w:type="dxa"/>
        </w:trPr>
        <w:tc>
          <w:tcPr>
            <w:tcW w:w="3456" w:type="dxa"/>
          </w:tcPr>
          <w:p w:rsidR="00696FC4" w:rsidRDefault="00696FC4">
            <w:pPr>
              <w:pStyle w:val="Infotext"/>
              <w:rPr>
                <w:rFonts w:ascii="Arial Black" w:hAnsi="Arial Black" w:cs="Arial"/>
              </w:rPr>
            </w:pPr>
            <w:r>
              <w:rPr>
                <w:rFonts w:ascii="Arial Black" w:hAnsi="Arial Black" w:cs="Arial"/>
              </w:rPr>
              <w:t>Subject:</w:t>
            </w:r>
          </w:p>
          <w:p w:rsidR="00696FC4" w:rsidRDefault="00696FC4">
            <w:pPr>
              <w:pStyle w:val="Infotext"/>
              <w:rPr>
                <w:rFonts w:ascii="Arial Black" w:hAnsi="Arial Black"/>
              </w:rPr>
            </w:pPr>
          </w:p>
        </w:tc>
        <w:tc>
          <w:tcPr>
            <w:tcW w:w="5484" w:type="dxa"/>
            <w:gridSpan w:val="3"/>
          </w:tcPr>
          <w:p w:rsidR="00696FC4" w:rsidRDefault="00627565">
            <w:pPr>
              <w:rPr>
                <w:rFonts w:cs="Arial"/>
              </w:rPr>
            </w:pPr>
            <w:r w:rsidRPr="00627565">
              <w:rPr>
                <w:rFonts w:cs="Arial"/>
              </w:rPr>
              <w:t>Revenue</w:t>
            </w:r>
            <w:r w:rsidR="00D32FE5">
              <w:rPr>
                <w:rFonts w:cs="Arial"/>
              </w:rPr>
              <w:t xml:space="preserve"> and Capital</w:t>
            </w:r>
            <w:r w:rsidRPr="00627565">
              <w:rPr>
                <w:rFonts w:cs="Arial"/>
              </w:rPr>
              <w:t xml:space="preserve"> Monitoring </w:t>
            </w:r>
            <w:r w:rsidR="00C15319">
              <w:rPr>
                <w:rFonts w:cs="Arial"/>
              </w:rPr>
              <w:t>2018/19 - as at</w:t>
            </w:r>
            <w:r w:rsidR="000E3FBF">
              <w:rPr>
                <w:rFonts w:cs="Arial"/>
              </w:rPr>
              <w:t xml:space="preserve"> Quarter 2 (</w:t>
            </w:r>
            <w:r w:rsidRPr="00627565">
              <w:rPr>
                <w:rFonts w:cs="Arial"/>
              </w:rPr>
              <w:t>3</w:t>
            </w:r>
            <w:r w:rsidR="00D32FE5">
              <w:rPr>
                <w:rFonts w:cs="Arial"/>
              </w:rPr>
              <w:t>0</w:t>
            </w:r>
            <w:r w:rsidR="00D32FE5" w:rsidRPr="00D32FE5">
              <w:rPr>
                <w:rFonts w:cs="Arial"/>
                <w:vertAlign w:val="superscript"/>
              </w:rPr>
              <w:t>th</w:t>
            </w:r>
            <w:r w:rsidR="00D32FE5">
              <w:rPr>
                <w:rFonts w:cs="Arial"/>
              </w:rPr>
              <w:t xml:space="preserve"> </w:t>
            </w:r>
            <w:r w:rsidR="00D37115">
              <w:rPr>
                <w:rFonts w:cs="Arial"/>
              </w:rPr>
              <w:t>September</w:t>
            </w:r>
            <w:r w:rsidR="00D32FE5">
              <w:rPr>
                <w:rFonts w:cs="Arial"/>
              </w:rPr>
              <w:t xml:space="preserve"> </w:t>
            </w:r>
            <w:r>
              <w:rPr>
                <w:rFonts w:cs="Arial"/>
              </w:rPr>
              <w:t>2018</w:t>
            </w:r>
            <w:r w:rsidR="000E3FBF">
              <w:rPr>
                <w:rFonts w:cs="Arial"/>
              </w:rPr>
              <w:t>)</w:t>
            </w:r>
          </w:p>
        </w:tc>
      </w:tr>
      <w:tr w:rsidR="00696FC4" w:rsidTr="00EC0C14">
        <w:trPr>
          <w:gridAfter w:val="2"/>
          <w:wAfter w:w="1516" w:type="dxa"/>
          <w:trHeight w:val="777"/>
        </w:trPr>
        <w:tc>
          <w:tcPr>
            <w:tcW w:w="3456" w:type="dxa"/>
          </w:tcPr>
          <w:p w:rsidR="00696FC4" w:rsidRDefault="00696FC4">
            <w:pPr>
              <w:pStyle w:val="Infotext"/>
              <w:rPr>
                <w:rFonts w:ascii="Arial Black" w:hAnsi="Arial Black" w:cs="Arial"/>
              </w:rPr>
            </w:pPr>
            <w:r>
              <w:rPr>
                <w:rFonts w:ascii="Arial Black" w:hAnsi="Arial Black" w:cs="Arial"/>
              </w:rPr>
              <w:t xml:space="preserve">Key Decision:  </w:t>
            </w:r>
          </w:p>
        </w:tc>
        <w:tc>
          <w:tcPr>
            <w:tcW w:w="5484" w:type="dxa"/>
            <w:gridSpan w:val="3"/>
          </w:tcPr>
          <w:p w:rsidR="00696FC4" w:rsidRDefault="00696FC4">
            <w:pPr>
              <w:rPr>
                <w:bCs/>
                <w:szCs w:val="24"/>
              </w:rPr>
            </w:pPr>
            <w:r>
              <w:rPr>
                <w:bCs/>
                <w:szCs w:val="24"/>
              </w:rPr>
              <w:t>Yes</w:t>
            </w:r>
          </w:p>
          <w:p w:rsidR="00696FC4" w:rsidRDefault="00696FC4">
            <w:pPr>
              <w:rPr>
                <w:rFonts w:cs="Arial"/>
              </w:rPr>
            </w:pPr>
          </w:p>
        </w:tc>
      </w:tr>
      <w:tr w:rsidR="00696FC4" w:rsidTr="00EC0C14">
        <w:trPr>
          <w:gridAfter w:val="2"/>
          <w:wAfter w:w="1516" w:type="dxa"/>
        </w:trPr>
        <w:tc>
          <w:tcPr>
            <w:tcW w:w="3456" w:type="dxa"/>
          </w:tcPr>
          <w:p w:rsidR="00696FC4" w:rsidRDefault="00696FC4">
            <w:pPr>
              <w:pStyle w:val="Infotext"/>
              <w:rPr>
                <w:rFonts w:ascii="Arial Black" w:hAnsi="Arial Black" w:cs="Arial"/>
              </w:rPr>
            </w:pPr>
            <w:r>
              <w:rPr>
                <w:rFonts w:ascii="Arial Black" w:hAnsi="Arial Black" w:cs="Arial"/>
              </w:rPr>
              <w:t>Responsible Officer:</w:t>
            </w:r>
          </w:p>
          <w:p w:rsidR="00696FC4" w:rsidRDefault="00696FC4">
            <w:pPr>
              <w:pStyle w:val="Infotext"/>
              <w:rPr>
                <w:rFonts w:ascii="Arial Black" w:hAnsi="Arial Black" w:cs="Arial"/>
              </w:rPr>
            </w:pPr>
          </w:p>
        </w:tc>
        <w:tc>
          <w:tcPr>
            <w:tcW w:w="5484" w:type="dxa"/>
            <w:gridSpan w:val="3"/>
          </w:tcPr>
          <w:p w:rsidR="00696FC4" w:rsidRDefault="0008561D" w:rsidP="00484862">
            <w:pPr>
              <w:rPr>
                <w:rFonts w:cs="Arial"/>
              </w:rPr>
            </w:pPr>
            <w:r>
              <w:rPr>
                <w:bCs/>
                <w:szCs w:val="24"/>
              </w:rPr>
              <w:t xml:space="preserve">Dawn Calvert, </w:t>
            </w:r>
            <w:r w:rsidR="00696FC4">
              <w:rPr>
                <w:bCs/>
                <w:szCs w:val="24"/>
              </w:rPr>
              <w:t xml:space="preserve">Director of </w:t>
            </w:r>
            <w:r w:rsidR="00F91628">
              <w:rPr>
                <w:bCs/>
                <w:szCs w:val="24"/>
              </w:rPr>
              <w:t xml:space="preserve">Finance </w:t>
            </w:r>
          </w:p>
        </w:tc>
      </w:tr>
      <w:tr w:rsidR="00696FC4" w:rsidTr="00EC0C14">
        <w:trPr>
          <w:gridAfter w:val="2"/>
          <w:wAfter w:w="1516" w:type="dxa"/>
        </w:trPr>
        <w:tc>
          <w:tcPr>
            <w:tcW w:w="3456" w:type="dxa"/>
          </w:tcPr>
          <w:p w:rsidR="00696FC4" w:rsidRDefault="00696FC4">
            <w:pPr>
              <w:pStyle w:val="Infotext"/>
              <w:rPr>
                <w:rFonts w:ascii="Arial Black" w:hAnsi="Arial Black" w:cs="Arial"/>
              </w:rPr>
            </w:pPr>
            <w:r>
              <w:rPr>
                <w:rFonts w:ascii="Arial Black" w:hAnsi="Arial Black" w:cs="Arial"/>
              </w:rPr>
              <w:t>Portfolio Holder:</w:t>
            </w:r>
          </w:p>
          <w:p w:rsidR="00696FC4" w:rsidRDefault="00696FC4">
            <w:pPr>
              <w:pStyle w:val="Infotext"/>
              <w:rPr>
                <w:rFonts w:ascii="Arial Black" w:hAnsi="Arial Black" w:cs="Arial"/>
              </w:rPr>
            </w:pPr>
          </w:p>
        </w:tc>
        <w:tc>
          <w:tcPr>
            <w:tcW w:w="5484" w:type="dxa"/>
            <w:gridSpan w:val="3"/>
          </w:tcPr>
          <w:p w:rsidR="00696FC4" w:rsidRDefault="00142267" w:rsidP="00EA4541">
            <w:pPr>
              <w:rPr>
                <w:rFonts w:cs="Arial"/>
              </w:rPr>
            </w:pPr>
            <w:r>
              <w:rPr>
                <w:bCs/>
                <w:szCs w:val="24"/>
              </w:rPr>
              <w:t>Councillor</w:t>
            </w:r>
            <w:r w:rsidR="00944147">
              <w:rPr>
                <w:bCs/>
                <w:szCs w:val="24"/>
              </w:rPr>
              <w:t xml:space="preserve"> Adam Swersky</w:t>
            </w:r>
            <w:r w:rsidR="007F4174">
              <w:rPr>
                <w:bCs/>
                <w:szCs w:val="24"/>
              </w:rPr>
              <w:t>, Portfolio Holder for Finance</w:t>
            </w:r>
            <w:r w:rsidR="002A42A3">
              <w:rPr>
                <w:bCs/>
                <w:szCs w:val="24"/>
              </w:rPr>
              <w:t xml:space="preserve"> and </w:t>
            </w:r>
            <w:r w:rsidR="00EA4541">
              <w:rPr>
                <w:bCs/>
                <w:szCs w:val="24"/>
              </w:rPr>
              <w:t>Resources</w:t>
            </w:r>
          </w:p>
        </w:tc>
      </w:tr>
      <w:tr w:rsidR="00696FC4" w:rsidTr="00EC0C14">
        <w:trPr>
          <w:gridAfter w:val="2"/>
          <w:wAfter w:w="1516" w:type="dxa"/>
        </w:trPr>
        <w:tc>
          <w:tcPr>
            <w:tcW w:w="3456" w:type="dxa"/>
          </w:tcPr>
          <w:p w:rsidR="00696FC4" w:rsidRDefault="00696FC4">
            <w:pPr>
              <w:pStyle w:val="Infotext"/>
              <w:rPr>
                <w:rFonts w:ascii="Arial Black" w:hAnsi="Arial Black" w:cs="Arial"/>
              </w:rPr>
            </w:pPr>
            <w:r>
              <w:rPr>
                <w:rFonts w:ascii="Arial Black" w:hAnsi="Arial Black" w:cs="Arial"/>
              </w:rPr>
              <w:t>Exempt:</w:t>
            </w:r>
          </w:p>
          <w:p w:rsidR="00696FC4" w:rsidRDefault="00696FC4">
            <w:pPr>
              <w:pStyle w:val="Infotext"/>
              <w:rPr>
                <w:rFonts w:ascii="Arial Black" w:hAnsi="Arial Black" w:cs="Arial"/>
              </w:rPr>
            </w:pPr>
          </w:p>
        </w:tc>
        <w:tc>
          <w:tcPr>
            <w:tcW w:w="5484" w:type="dxa"/>
            <w:gridSpan w:val="3"/>
          </w:tcPr>
          <w:p w:rsidR="00874F92" w:rsidRPr="00874F92" w:rsidRDefault="00874F92" w:rsidP="00874F92">
            <w:pPr>
              <w:rPr>
                <w:rFonts w:cs="Arial"/>
              </w:rPr>
            </w:pPr>
            <w:r w:rsidRPr="00874F92">
              <w:rPr>
                <w:rFonts w:cs="Arial"/>
              </w:rPr>
              <w:t>No,</w:t>
            </w:r>
            <w:r w:rsidRPr="00874F92">
              <w:rPr>
                <w:rFonts w:cs="Arial"/>
                <w:bCs/>
              </w:rPr>
              <w:t xml:space="preserve"> except for Append</w:t>
            </w:r>
            <w:r w:rsidR="006746DE">
              <w:rPr>
                <w:rFonts w:cs="Arial"/>
                <w:bCs/>
              </w:rPr>
              <w:t xml:space="preserve">ices </w:t>
            </w:r>
            <w:r w:rsidRPr="00874F92">
              <w:rPr>
                <w:rFonts w:cs="Arial"/>
                <w:bCs/>
              </w:rPr>
              <w:t>5,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p>
          <w:p w:rsidR="00696FC4" w:rsidRDefault="00696FC4">
            <w:pPr>
              <w:rPr>
                <w:rFonts w:cs="Arial"/>
              </w:rPr>
            </w:pPr>
          </w:p>
        </w:tc>
      </w:tr>
      <w:tr w:rsidR="00696FC4" w:rsidTr="00EC0C14">
        <w:trPr>
          <w:gridAfter w:val="2"/>
          <w:wAfter w:w="1516" w:type="dxa"/>
        </w:trPr>
        <w:tc>
          <w:tcPr>
            <w:tcW w:w="3456" w:type="dxa"/>
          </w:tcPr>
          <w:p w:rsidR="00696FC4" w:rsidRDefault="00696FC4">
            <w:pPr>
              <w:pStyle w:val="Infotext"/>
              <w:rPr>
                <w:rFonts w:ascii="Arial Black" w:hAnsi="Arial Black" w:cs="Arial"/>
              </w:rPr>
            </w:pPr>
            <w:r>
              <w:rPr>
                <w:rFonts w:ascii="Arial Black" w:hAnsi="Arial Black" w:cs="Arial"/>
              </w:rPr>
              <w:t>Decision subject to Call-in:</w:t>
            </w:r>
          </w:p>
        </w:tc>
        <w:tc>
          <w:tcPr>
            <w:tcW w:w="5484" w:type="dxa"/>
            <w:gridSpan w:val="3"/>
          </w:tcPr>
          <w:p w:rsidR="00696FC4" w:rsidRDefault="00696FC4">
            <w:pPr>
              <w:rPr>
                <w:rFonts w:cs="Arial"/>
              </w:rPr>
            </w:pPr>
            <w:r>
              <w:rPr>
                <w:bCs/>
                <w:szCs w:val="24"/>
              </w:rPr>
              <w:t>Yes</w:t>
            </w:r>
          </w:p>
        </w:tc>
      </w:tr>
      <w:tr w:rsidR="000A55D4" w:rsidTr="00EC0C14">
        <w:trPr>
          <w:gridAfter w:val="3"/>
          <w:wAfter w:w="1946" w:type="dxa"/>
        </w:trPr>
        <w:tc>
          <w:tcPr>
            <w:tcW w:w="3456" w:type="dxa"/>
          </w:tcPr>
          <w:p w:rsidR="000A55D4" w:rsidRDefault="000A55D4" w:rsidP="0048119F">
            <w:pPr>
              <w:pStyle w:val="Infotext"/>
              <w:rPr>
                <w:rFonts w:ascii="Arial Black" w:hAnsi="Arial Black" w:cs="Arial"/>
              </w:rPr>
            </w:pPr>
            <w:r>
              <w:rPr>
                <w:rFonts w:ascii="Arial Black" w:hAnsi="Arial Black" w:cs="Arial"/>
              </w:rPr>
              <w:t>Wards affected:</w:t>
            </w:r>
          </w:p>
          <w:p w:rsidR="000A55D4" w:rsidRPr="00C13A5F" w:rsidRDefault="000A55D4" w:rsidP="0048119F">
            <w:pPr>
              <w:pStyle w:val="Infotext"/>
              <w:rPr>
                <w:rFonts w:ascii="Arial Black" w:hAnsi="Arial Black" w:cs="Arial"/>
              </w:rPr>
            </w:pPr>
          </w:p>
        </w:tc>
        <w:tc>
          <w:tcPr>
            <w:tcW w:w="5054" w:type="dxa"/>
            <w:gridSpan w:val="2"/>
          </w:tcPr>
          <w:p w:rsidR="000A55D4" w:rsidRPr="00E06FC6" w:rsidRDefault="000A55D4" w:rsidP="0048119F">
            <w:pPr>
              <w:pStyle w:val="Heading3"/>
              <w:rPr>
                <w:b w:val="0"/>
                <w:i w:val="0"/>
              </w:rPr>
            </w:pPr>
            <w:r>
              <w:rPr>
                <w:b w:val="0"/>
                <w:i w:val="0"/>
              </w:rPr>
              <w:t>All ward</w:t>
            </w:r>
            <w:r w:rsidR="00DA6A20">
              <w:rPr>
                <w:b w:val="0"/>
                <w:i w:val="0"/>
              </w:rPr>
              <w:t>s</w:t>
            </w:r>
          </w:p>
        </w:tc>
      </w:tr>
      <w:tr w:rsidR="00696FC4" w:rsidTr="00EC0C14">
        <w:trPr>
          <w:gridAfter w:val="2"/>
          <w:wAfter w:w="1516" w:type="dxa"/>
        </w:trPr>
        <w:tc>
          <w:tcPr>
            <w:tcW w:w="3456" w:type="dxa"/>
          </w:tcPr>
          <w:p w:rsidR="00696FC4" w:rsidRDefault="00696FC4">
            <w:pPr>
              <w:pStyle w:val="Infotext"/>
              <w:rPr>
                <w:rFonts w:ascii="Arial Black" w:hAnsi="Arial Black" w:cs="Arial"/>
              </w:rPr>
            </w:pPr>
            <w:r>
              <w:rPr>
                <w:rFonts w:ascii="Arial Black" w:hAnsi="Arial Black" w:cs="Arial"/>
              </w:rPr>
              <w:t>Enclosures:</w:t>
            </w:r>
          </w:p>
          <w:p w:rsidR="00696FC4" w:rsidRDefault="00696FC4">
            <w:pPr>
              <w:pStyle w:val="Infotext"/>
              <w:rPr>
                <w:rFonts w:ascii="Arial Black" w:hAnsi="Arial Black" w:cs="Arial"/>
              </w:rPr>
            </w:pPr>
          </w:p>
        </w:tc>
        <w:tc>
          <w:tcPr>
            <w:tcW w:w="5484" w:type="dxa"/>
            <w:gridSpan w:val="3"/>
          </w:tcPr>
          <w:p w:rsidR="003C0457" w:rsidRDefault="00696FC4">
            <w:pPr>
              <w:rPr>
                <w:rFonts w:cs="Arial"/>
                <w:szCs w:val="24"/>
              </w:rPr>
            </w:pPr>
            <w:r>
              <w:rPr>
                <w:rFonts w:cs="Arial"/>
              </w:rPr>
              <w:t xml:space="preserve">Appendix </w:t>
            </w:r>
            <w:r w:rsidR="00942F9C">
              <w:rPr>
                <w:rFonts w:cs="Arial"/>
              </w:rPr>
              <w:t>1</w:t>
            </w:r>
            <w:r>
              <w:rPr>
                <w:rFonts w:cs="Arial"/>
              </w:rPr>
              <w:t xml:space="preserve"> </w:t>
            </w:r>
            <w:r w:rsidR="002F2ECB">
              <w:rPr>
                <w:rFonts w:cs="Arial"/>
              </w:rPr>
              <w:t xml:space="preserve">- </w:t>
            </w:r>
            <w:r w:rsidR="00FA202E">
              <w:rPr>
                <w:rFonts w:cs="Arial"/>
                <w:szCs w:val="24"/>
              </w:rPr>
              <w:t>R</w:t>
            </w:r>
            <w:r w:rsidR="0032045E">
              <w:rPr>
                <w:rFonts w:cs="Arial"/>
                <w:szCs w:val="24"/>
              </w:rPr>
              <w:t>evenue</w:t>
            </w:r>
            <w:r w:rsidR="00BE2DC6">
              <w:rPr>
                <w:rFonts w:cs="Arial"/>
                <w:szCs w:val="24"/>
              </w:rPr>
              <w:t xml:space="preserve"> </w:t>
            </w:r>
            <w:r w:rsidR="006A4E63">
              <w:rPr>
                <w:rFonts w:cs="Arial"/>
                <w:szCs w:val="24"/>
              </w:rPr>
              <w:t>Budget Summary</w:t>
            </w:r>
            <w:r w:rsidR="00C15319">
              <w:rPr>
                <w:rFonts w:cs="Arial"/>
                <w:szCs w:val="24"/>
              </w:rPr>
              <w:t xml:space="preserve"> 2018/19 – </w:t>
            </w:r>
            <w:r w:rsidR="000E3FBF">
              <w:rPr>
                <w:rFonts w:cs="Arial"/>
                <w:szCs w:val="24"/>
              </w:rPr>
              <w:t xml:space="preserve">as at </w:t>
            </w:r>
            <w:r w:rsidR="00C15319">
              <w:rPr>
                <w:rFonts w:cs="Arial"/>
                <w:szCs w:val="24"/>
              </w:rPr>
              <w:t>Quarter 2</w:t>
            </w:r>
            <w:r w:rsidR="000E3FBF">
              <w:rPr>
                <w:rFonts w:cs="Arial"/>
                <w:szCs w:val="24"/>
              </w:rPr>
              <w:t xml:space="preserve"> (</w:t>
            </w:r>
            <w:r w:rsidR="00627565">
              <w:rPr>
                <w:rFonts w:cs="Arial"/>
                <w:szCs w:val="24"/>
              </w:rPr>
              <w:t>3</w:t>
            </w:r>
            <w:r w:rsidR="00F80217">
              <w:rPr>
                <w:rFonts w:cs="Arial"/>
                <w:szCs w:val="24"/>
              </w:rPr>
              <w:t>0</w:t>
            </w:r>
            <w:r w:rsidR="00F80217" w:rsidRPr="00BC03D5">
              <w:rPr>
                <w:rFonts w:cs="Arial"/>
                <w:szCs w:val="24"/>
                <w:vertAlign w:val="superscript"/>
              </w:rPr>
              <w:t>th</w:t>
            </w:r>
            <w:r w:rsidR="00F80217">
              <w:rPr>
                <w:rFonts w:cs="Arial"/>
                <w:szCs w:val="24"/>
              </w:rPr>
              <w:t xml:space="preserve"> </w:t>
            </w:r>
            <w:r w:rsidR="00D37115">
              <w:rPr>
                <w:rFonts w:cs="Arial"/>
                <w:szCs w:val="24"/>
              </w:rPr>
              <w:t>September</w:t>
            </w:r>
            <w:r w:rsidR="0087709A">
              <w:rPr>
                <w:rFonts w:cs="Arial"/>
                <w:szCs w:val="24"/>
              </w:rPr>
              <w:t xml:space="preserve"> </w:t>
            </w:r>
            <w:r w:rsidR="00627565">
              <w:rPr>
                <w:rFonts w:cs="Arial"/>
                <w:szCs w:val="24"/>
              </w:rPr>
              <w:t>2018</w:t>
            </w:r>
            <w:r w:rsidR="000E3FBF">
              <w:rPr>
                <w:rFonts w:cs="Arial"/>
                <w:szCs w:val="24"/>
              </w:rPr>
              <w:t>)</w:t>
            </w:r>
            <w:r w:rsidR="00F41544">
              <w:rPr>
                <w:rFonts w:cs="Arial"/>
                <w:szCs w:val="24"/>
              </w:rPr>
              <w:t>.</w:t>
            </w:r>
            <w:r w:rsidR="002F3277" w:rsidRPr="002F3277">
              <w:rPr>
                <w:rFonts w:cs="Arial"/>
                <w:szCs w:val="24"/>
              </w:rPr>
              <w:t xml:space="preserve"> </w:t>
            </w:r>
          </w:p>
          <w:p w:rsidR="006154B4" w:rsidRDefault="006154B4" w:rsidP="006154B4">
            <w:pPr>
              <w:rPr>
                <w:rFonts w:cs="Arial"/>
                <w:szCs w:val="24"/>
              </w:rPr>
            </w:pPr>
            <w:r>
              <w:rPr>
                <w:rFonts w:cs="Arial"/>
                <w:szCs w:val="24"/>
              </w:rPr>
              <w:t xml:space="preserve">Appendix 2 - </w:t>
            </w:r>
            <w:r w:rsidRPr="00627565">
              <w:rPr>
                <w:rFonts w:cs="Arial"/>
                <w:szCs w:val="24"/>
              </w:rPr>
              <w:t>Draw Down</w:t>
            </w:r>
            <w:r w:rsidR="008E66A9">
              <w:rPr>
                <w:rFonts w:cs="Arial"/>
                <w:szCs w:val="24"/>
              </w:rPr>
              <w:t xml:space="preserve"> F</w:t>
            </w:r>
            <w:r>
              <w:rPr>
                <w:rFonts w:cs="Arial"/>
                <w:szCs w:val="24"/>
              </w:rPr>
              <w:t>rom</w:t>
            </w:r>
            <w:r w:rsidRPr="00627565">
              <w:rPr>
                <w:rFonts w:cs="Arial"/>
                <w:szCs w:val="24"/>
              </w:rPr>
              <w:t xml:space="preserve"> Reserves</w:t>
            </w:r>
            <w:r w:rsidR="008E66A9">
              <w:rPr>
                <w:rFonts w:cs="Arial"/>
                <w:szCs w:val="24"/>
              </w:rPr>
              <w:t>.</w:t>
            </w:r>
          </w:p>
          <w:p w:rsidR="002F3277" w:rsidRPr="002F3277" w:rsidRDefault="003C0457" w:rsidP="002F3277">
            <w:pPr>
              <w:rPr>
                <w:rFonts w:cs="Arial"/>
                <w:szCs w:val="24"/>
              </w:rPr>
            </w:pPr>
            <w:r>
              <w:rPr>
                <w:rFonts w:cs="Arial"/>
                <w:szCs w:val="24"/>
              </w:rPr>
              <w:t xml:space="preserve">Appendix </w:t>
            </w:r>
            <w:r w:rsidR="006154B4">
              <w:rPr>
                <w:rFonts w:cs="Arial"/>
                <w:szCs w:val="24"/>
              </w:rPr>
              <w:t>3</w:t>
            </w:r>
            <w:r>
              <w:rPr>
                <w:rFonts w:cs="Arial"/>
                <w:szCs w:val="24"/>
              </w:rPr>
              <w:t xml:space="preserve"> </w:t>
            </w:r>
            <w:r w:rsidR="00B16CCF">
              <w:rPr>
                <w:rFonts w:cs="Arial"/>
                <w:szCs w:val="24"/>
              </w:rPr>
              <w:t xml:space="preserve">- </w:t>
            </w:r>
            <w:r w:rsidR="00627565">
              <w:rPr>
                <w:rFonts w:cs="Arial"/>
                <w:szCs w:val="24"/>
              </w:rPr>
              <w:t>20</w:t>
            </w:r>
            <w:r w:rsidR="00627565" w:rsidRPr="00627565">
              <w:rPr>
                <w:rFonts w:cs="Arial"/>
                <w:szCs w:val="24"/>
              </w:rPr>
              <w:t>18</w:t>
            </w:r>
            <w:r w:rsidR="00CE08B0">
              <w:rPr>
                <w:rFonts w:cs="Arial"/>
                <w:szCs w:val="24"/>
              </w:rPr>
              <w:t>/</w:t>
            </w:r>
            <w:r w:rsidR="00627565">
              <w:rPr>
                <w:rFonts w:cs="Arial"/>
                <w:szCs w:val="24"/>
              </w:rPr>
              <w:t>19</w:t>
            </w:r>
            <w:r w:rsidR="00627565" w:rsidRPr="00627565">
              <w:rPr>
                <w:rFonts w:cs="Arial"/>
                <w:szCs w:val="24"/>
              </w:rPr>
              <w:t xml:space="preserve"> MTFS Savings Tracker</w:t>
            </w:r>
            <w:r w:rsidR="00F41544">
              <w:rPr>
                <w:rFonts w:cs="Arial"/>
                <w:szCs w:val="24"/>
              </w:rPr>
              <w:t>.</w:t>
            </w:r>
            <w:r w:rsidR="00627565" w:rsidRPr="00627565">
              <w:rPr>
                <w:rFonts w:cs="Arial"/>
                <w:szCs w:val="24"/>
              </w:rPr>
              <w:t xml:space="preserve"> </w:t>
            </w:r>
          </w:p>
          <w:p w:rsidR="00F80217" w:rsidRDefault="00F80217" w:rsidP="00627565">
            <w:pPr>
              <w:rPr>
                <w:rFonts w:cs="Arial"/>
                <w:szCs w:val="24"/>
              </w:rPr>
            </w:pPr>
            <w:r>
              <w:rPr>
                <w:rFonts w:cs="Arial"/>
                <w:szCs w:val="24"/>
              </w:rPr>
              <w:t xml:space="preserve">Appendix 4 </w:t>
            </w:r>
            <w:r w:rsidR="0087709A">
              <w:rPr>
                <w:rFonts w:cs="Arial"/>
                <w:szCs w:val="24"/>
              </w:rPr>
              <w:t>-</w:t>
            </w:r>
            <w:r>
              <w:rPr>
                <w:rFonts w:cs="Arial"/>
                <w:szCs w:val="24"/>
              </w:rPr>
              <w:t xml:space="preserve"> Capital Programme</w:t>
            </w:r>
            <w:r w:rsidR="00C15319">
              <w:rPr>
                <w:rFonts w:cs="Arial"/>
                <w:szCs w:val="24"/>
              </w:rPr>
              <w:t xml:space="preserve"> 2018/19 </w:t>
            </w:r>
            <w:r w:rsidR="000E3FBF">
              <w:rPr>
                <w:rFonts w:cs="Arial"/>
                <w:szCs w:val="24"/>
              </w:rPr>
              <w:t>– as at Quarter</w:t>
            </w:r>
            <w:r w:rsidR="00C15319">
              <w:rPr>
                <w:rFonts w:cs="Arial"/>
                <w:szCs w:val="24"/>
              </w:rPr>
              <w:t xml:space="preserve"> 2</w:t>
            </w:r>
            <w:r>
              <w:rPr>
                <w:rFonts w:cs="Arial"/>
                <w:szCs w:val="24"/>
              </w:rPr>
              <w:t xml:space="preserve"> </w:t>
            </w:r>
            <w:r w:rsidR="000E3FBF">
              <w:rPr>
                <w:rFonts w:cs="Arial"/>
                <w:szCs w:val="24"/>
              </w:rPr>
              <w:t>(</w:t>
            </w:r>
            <w:r>
              <w:rPr>
                <w:rFonts w:cs="Arial"/>
                <w:szCs w:val="24"/>
              </w:rPr>
              <w:t>30</w:t>
            </w:r>
            <w:r w:rsidRPr="00BC03D5">
              <w:rPr>
                <w:rFonts w:cs="Arial"/>
                <w:szCs w:val="24"/>
                <w:vertAlign w:val="superscript"/>
              </w:rPr>
              <w:t>th</w:t>
            </w:r>
            <w:r>
              <w:rPr>
                <w:rFonts w:cs="Arial"/>
                <w:szCs w:val="24"/>
              </w:rPr>
              <w:t xml:space="preserve"> </w:t>
            </w:r>
            <w:r w:rsidR="003D5622">
              <w:rPr>
                <w:rFonts w:cs="Arial"/>
                <w:szCs w:val="24"/>
              </w:rPr>
              <w:t>September 2018</w:t>
            </w:r>
            <w:r w:rsidR="000E3FBF">
              <w:rPr>
                <w:rFonts w:cs="Arial"/>
                <w:szCs w:val="24"/>
              </w:rPr>
              <w:t>)</w:t>
            </w:r>
            <w:r w:rsidR="00F41544">
              <w:rPr>
                <w:rFonts w:cs="Arial"/>
                <w:szCs w:val="24"/>
              </w:rPr>
              <w:t>.</w:t>
            </w:r>
          </w:p>
          <w:p w:rsidR="00F80217" w:rsidRDefault="0087709A" w:rsidP="00627565">
            <w:pPr>
              <w:rPr>
                <w:rFonts w:cs="Arial"/>
                <w:szCs w:val="24"/>
              </w:rPr>
            </w:pPr>
            <w:r>
              <w:rPr>
                <w:rFonts w:cs="Arial"/>
                <w:szCs w:val="24"/>
              </w:rPr>
              <w:t>Appendix</w:t>
            </w:r>
            <w:r w:rsidR="00F80217">
              <w:rPr>
                <w:rFonts w:cs="Arial"/>
                <w:szCs w:val="24"/>
              </w:rPr>
              <w:t xml:space="preserve"> </w:t>
            </w:r>
            <w:r w:rsidR="00E7778C">
              <w:rPr>
                <w:rFonts w:cs="Arial"/>
                <w:szCs w:val="24"/>
              </w:rPr>
              <w:t>5</w:t>
            </w:r>
            <w:r w:rsidR="00F80217">
              <w:rPr>
                <w:rFonts w:cs="Arial"/>
                <w:szCs w:val="24"/>
              </w:rPr>
              <w:t xml:space="preserve"> </w:t>
            </w:r>
            <w:r w:rsidR="00B16CCF">
              <w:rPr>
                <w:rFonts w:cs="Arial"/>
                <w:szCs w:val="24"/>
              </w:rPr>
              <w:t xml:space="preserve">- </w:t>
            </w:r>
            <w:proofErr w:type="spellStart"/>
            <w:r w:rsidR="00F80217">
              <w:rPr>
                <w:rFonts w:cs="Arial"/>
                <w:szCs w:val="24"/>
              </w:rPr>
              <w:t>Sancroft</w:t>
            </w:r>
            <w:proofErr w:type="spellEnd"/>
            <w:r w:rsidR="00F80217">
              <w:rPr>
                <w:rFonts w:cs="Arial"/>
                <w:szCs w:val="24"/>
              </w:rPr>
              <w:t xml:space="preserve"> </w:t>
            </w:r>
            <w:r>
              <w:rPr>
                <w:rFonts w:cs="Arial"/>
                <w:szCs w:val="24"/>
              </w:rPr>
              <w:t xml:space="preserve">Community Care </w:t>
            </w:r>
            <w:r w:rsidR="006154B4">
              <w:rPr>
                <w:rFonts w:cs="Arial"/>
                <w:szCs w:val="24"/>
              </w:rPr>
              <w:t>Performance Report</w:t>
            </w:r>
            <w:r w:rsidR="00C63BEA">
              <w:rPr>
                <w:rFonts w:cs="Arial"/>
                <w:szCs w:val="24"/>
              </w:rPr>
              <w:t xml:space="preserve"> </w:t>
            </w:r>
            <w:r w:rsidR="00874F92">
              <w:rPr>
                <w:rFonts w:cs="Arial"/>
                <w:szCs w:val="24"/>
              </w:rPr>
              <w:t>(Exempt)</w:t>
            </w:r>
            <w:r w:rsidR="00C15319">
              <w:rPr>
                <w:rFonts w:cs="Arial"/>
                <w:szCs w:val="24"/>
              </w:rPr>
              <w:t xml:space="preserve"> – </w:t>
            </w:r>
            <w:r w:rsidR="000E3FBF">
              <w:rPr>
                <w:rFonts w:cs="Arial"/>
                <w:szCs w:val="24"/>
              </w:rPr>
              <w:t xml:space="preserve">as at </w:t>
            </w:r>
            <w:r w:rsidR="00C15319">
              <w:rPr>
                <w:rFonts w:cs="Arial"/>
                <w:szCs w:val="24"/>
              </w:rPr>
              <w:t xml:space="preserve">Quarter 2 </w:t>
            </w:r>
            <w:r w:rsidR="000E3FBF">
              <w:rPr>
                <w:rFonts w:cs="Arial"/>
                <w:szCs w:val="24"/>
              </w:rPr>
              <w:t>(</w:t>
            </w:r>
            <w:r w:rsidR="00C15319">
              <w:rPr>
                <w:rFonts w:cs="Arial"/>
                <w:szCs w:val="24"/>
              </w:rPr>
              <w:t>30</w:t>
            </w:r>
            <w:r w:rsidR="00C15319" w:rsidRPr="008C337C">
              <w:rPr>
                <w:rFonts w:cs="Arial"/>
                <w:szCs w:val="24"/>
                <w:vertAlign w:val="superscript"/>
              </w:rPr>
              <w:t>th</w:t>
            </w:r>
            <w:r w:rsidR="00C15319">
              <w:rPr>
                <w:rFonts w:cs="Arial"/>
                <w:szCs w:val="24"/>
              </w:rPr>
              <w:t xml:space="preserve"> September 2018</w:t>
            </w:r>
            <w:r w:rsidR="000E3FBF">
              <w:rPr>
                <w:rFonts w:cs="Arial"/>
                <w:szCs w:val="24"/>
              </w:rPr>
              <w:t>)</w:t>
            </w:r>
            <w:r w:rsidR="00C15319">
              <w:rPr>
                <w:rFonts w:cs="Arial"/>
                <w:szCs w:val="24"/>
              </w:rPr>
              <w:t>.</w:t>
            </w:r>
          </w:p>
          <w:p w:rsidR="008C79AB" w:rsidRDefault="008C79AB" w:rsidP="00627565">
            <w:pPr>
              <w:rPr>
                <w:rFonts w:cs="Arial"/>
                <w:szCs w:val="24"/>
              </w:rPr>
            </w:pPr>
          </w:p>
          <w:p w:rsidR="008C79AB" w:rsidRPr="00627565" w:rsidRDefault="008C79AB" w:rsidP="00627565">
            <w:pPr>
              <w:rPr>
                <w:rFonts w:cs="Arial"/>
                <w:szCs w:val="24"/>
              </w:rPr>
            </w:pPr>
          </w:p>
          <w:p w:rsidR="00470E6E" w:rsidRDefault="00470E6E">
            <w:pPr>
              <w:rPr>
                <w:rFonts w:cs="Arial"/>
                <w:szCs w:val="24"/>
              </w:rPr>
            </w:pPr>
          </w:p>
          <w:p w:rsidR="008A1B85" w:rsidRDefault="008A1B85">
            <w:pPr>
              <w:rPr>
                <w:rFonts w:cs="Arial"/>
                <w:szCs w:val="24"/>
              </w:rPr>
            </w:pPr>
          </w:p>
        </w:tc>
      </w:tr>
      <w:tr w:rsidR="00696FC4" w:rsidTr="00EC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right w:val="nil"/>
            </w:tcBorders>
          </w:tcPr>
          <w:p w:rsidR="00696FC4" w:rsidRDefault="00696FC4">
            <w:pPr>
              <w:pStyle w:val="Heading1"/>
              <w:ind w:right="-480"/>
            </w:pPr>
            <w:r>
              <w:lastRenderedPageBreak/>
              <w:t>Section 1 – Summary and Recommendations</w:t>
            </w:r>
          </w:p>
          <w:p w:rsidR="00696FC4" w:rsidRDefault="00696FC4">
            <w:pPr>
              <w:ind w:right="-480"/>
            </w:pPr>
          </w:p>
        </w:tc>
      </w:tr>
      <w:tr w:rsidR="00696FC4" w:rsidRPr="00944147" w:rsidTr="00EC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Pr>
          <w:p w:rsidR="009274CD" w:rsidRPr="008C337C" w:rsidRDefault="00627565" w:rsidP="008C337C">
            <w:pPr>
              <w:pStyle w:val="BodyText3"/>
              <w:rPr>
                <w:bCs/>
              </w:rPr>
            </w:pPr>
            <w:r w:rsidRPr="00627565">
              <w:t xml:space="preserve">This report sets out the </w:t>
            </w:r>
            <w:r w:rsidR="0074143A">
              <w:t>Council’s</w:t>
            </w:r>
            <w:r w:rsidR="0019235D">
              <w:t xml:space="preserve"> </w:t>
            </w:r>
            <w:r w:rsidR="0074143A">
              <w:t xml:space="preserve">forecast </w:t>
            </w:r>
            <w:r w:rsidR="009274CD" w:rsidRPr="009274CD">
              <w:t>financial position as at</w:t>
            </w:r>
            <w:r w:rsidR="001218AC">
              <w:t xml:space="preserve"> Quarter 2 </w:t>
            </w:r>
            <w:r w:rsidR="00C15319">
              <w:t>(</w:t>
            </w:r>
            <w:r w:rsidR="009274CD" w:rsidRPr="009274CD">
              <w:t>3</w:t>
            </w:r>
            <w:r w:rsidR="009274CD">
              <w:t>0</w:t>
            </w:r>
            <w:r w:rsidR="009274CD" w:rsidRPr="00BC03D5">
              <w:rPr>
                <w:vertAlign w:val="superscript"/>
              </w:rPr>
              <w:t>th</w:t>
            </w:r>
            <w:r w:rsidR="009274CD">
              <w:t xml:space="preserve"> </w:t>
            </w:r>
            <w:r w:rsidR="00D37115">
              <w:t>September</w:t>
            </w:r>
            <w:r w:rsidR="0019235D">
              <w:t xml:space="preserve"> </w:t>
            </w:r>
            <w:r w:rsidR="0019235D" w:rsidRPr="009274CD">
              <w:t>2018</w:t>
            </w:r>
            <w:r w:rsidR="00C15319">
              <w:t>)</w:t>
            </w:r>
            <w:r w:rsidR="00136FFC">
              <w:t xml:space="preserve"> and </w:t>
            </w:r>
            <w:r w:rsidR="00136FFC">
              <w:rPr>
                <w:bCs/>
              </w:rPr>
              <w:t xml:space="preserve">seeks </w:t>
            </w:r>
            <w:r w:rsidR="00810ACE">
              <w:rPr>
                <w:bCs/>
              </w:rPr>
              <w:t xml:space="preserve">approval for </w:t>
            </w:r>
            <w:r w:rsidR="00C15319">
              <w:rPr>
                <w:bCs/>
              </w:rPr>
              <w:t>C</w:t>
            </w:r>
            <w:r w:rsidR="00810ACE">
              <w:rPr>
                <w:bCs/>
              </w:rPr>
              <w:t xml:space="preserve">apital </w:t>
            </w:r>
            <w:r w:rsidR="00C15319">
              <w:rPr>
                <w:bCs/>
              </w:rPr>
              <w:t>P</w:t>
            </w:r>
            <w:r w:rsidR="00810ACE">
              <w:rPr>
                <w:bCs/>
              </w:rPr>
              <w:t>rogramme adjustment</w:t>
            </w:r>
            <w:r w:rsidR="00C15319">
              <w:rPr>
                <w:bCs/>
              </w:rPr>
              <w:t>s</w:t>
            </w:r>
            <w:r w:rsidR="00810ACE">
              <w:rPr>
                <w:bCs/>
              </w:rPr>
              <w:t xml:space="preserve"> and debt</w:t>
            </w:r>
            <w:r w:rsidR="00136FFC">
              <w:rPr>
                <w:bCs/>
              </w:rPr>
              <w:t>s</w:t>
            </w:r>
            <w:r w:rsidR="00C15319">
              <w:rPr>
                <w:bCs/>
              </w:rPr>
              <w:t xml:space="preserve"> write offs which require</w:t>
            </w:r>
            <w:r w:rsidR="00810ACE">
              <w:rPr>
                <w:bCs/>
              </w:rPr>
              <w:t xml:space="preserve"> Cabinet approval.</w:t>
            </w:r>
          </w:p>
          <w:p w:rsidR="006154B4" w:rsidRDefault="006154B4">
            <w:pPr>
              <w:pStyle w:val="BodyText3"/>
              <w:jc w:val="left"/>
              <w:rPr>
                <w:b/>
                <w:bCs/>
                <w:u w:val="single"/>
              </w:rPr>
            </w:pPr>
          </w:p>
          <w:p w:rsidR="00696FC4" w:rsidRPr="00E229A7" w:rsidRDefault="00696FC4">
            <w:pPr>
              <w:pStyle w:val="BodyText3"/>
              <w:jc w:val="left"/>
              <w:rPr>
                <w:b/>
                <w:bCs/>
                <w:u w:val="single"/>
              </w:rPr>
            </w:pPr>
            <w:r w:rsidRPr="00E229A7">
              <w:rPr>
                <w:b/>
                <w:bCs/>
                <w:u w:val="single"/>
              </w:rPr>
              <w:t xml:space="preserve">Recommendations: </w:t>
            </w:r>
          </w:p>
          <w:p w:rsidR="00457774" w:rsidRPr="006F766E" w:rsidRDefault="00457774">
            <w:pPr>
              <w:pStyle w:val="BodyText3"/>
              <w:jc w:val="left"/>
              <w:rPr>
                <w:b/>
                <w:bCs/>
                <w:highlight w:val="yellow"/>
                <w:u w:val="single"/>
              </w:rPr>
            </w:pPr>
          </w:p>
          <w:p w:rsidR="00DC3A87" w:rsidRDefault="00C41C83" w:rsidP="008C337C">
            <w:pPr>
              <w:pStyle w:val="BodyText3"/>
              <w:numPr>
                <w:ilvl w:val="0"/>
                <w:numId w:val="174"/>
              </w:numPr>
            </w:pPr>
            <w:r w:rsidRPr="00E229A7">
              <w:t>That Cabinet notes</w:t>
            </w:r>
            <w:r w:rsidR="00696FC4" w:rsidRPr="00E229A7">
              <w:t xml:space="preserve"> the </w:t>
            </w:r>
            <w:r w:rsidR="00627565" w:rsidRPr="00627565">
              <w:t>revenue</w:t>
            </w:r>
            <w:r w:rsidR="00251CCC">
              <w:t xml:space="preserve"> and capital</w:t>
            </w:r>
            <w:r w:rsidR="00627565" w:rsidRPr="00627565">
              <w:t xml:space="preserve"> forecast positions </w:t>
            </w:r>
            <w:r w:rsidR="00547EB5">
              <w:t>set out at</w:t>
            </w:r>
            <w:r w:rsidR="00627565" w:rsidRPr="00627565">
              <w:t xml:space="preserve"> </w:t>
            </w:r>
            <w:r w:rsidR="009274CD">
              <w:t>paragraphs</w:t>
            </w:r>
            <w:r w:rsidR="006154B4">
              <w:t xml:space="preserve"> 1.1 to 1.</w:t>
            </w:r>
            <w:r w:rsidR="0051048F">
              <w:t xml:space="preserve"> </w:t>
            </w:r>
            <w:r w:rsidR="006154B4">
              <w:t>2</w:t>
            </w:r>
          </w:p>
          <w:p w:rsidR="004B22C5" w:rsidRDefault="004B22C5" w:rsidP="0094250E">
            <w:pPr>
              <w:pStyle w:val="BodyText3"/>
              <w:ind w:left="1077"/>
            </w:pPr>
          </w:p>
          <w:p w:rsidR="00311B6D" w:rsidRPr="00C15319" w:rsidRDefault="00706829" w:rsidP="008C337C">
            <w:pPr>
              <w:pStyle w:val="ListParagraph"/>
              <w:numPr>
                <w:ilvl w:val="0"/>
                <w:numId w:val="174"/>
              </w:numPr>
              <w:rPr>
                <w:rFonts w:cs="Arial"/>
                <w:szCs w:val="24"/>
              </w:rPr>
            </w:pPr>
            <w:r w:rsidRPr="00C15319">
              <w:rPr>
                <w:rFonts w:cs="Arial"/>
                <w:szCs w:val="24"/>
              </w:rPr>
              <w:t xml:space="preserve">That </w:t>
            </w:r>
            <w:r w:rsidR="00774F13" w:rsidRPr="000E3FBF">
              <w:rPr>
                <w:rFonts w:cs="Arial"/>
                <w:szCs w:val="24"/>
              </w:rPr>
              <w:t xml:space="preserve">Cabinet </w:t>
            </w:r>
            <w:r w:rsidR="00774F13" w:rsidRPr="00663391">
              <w:rPr>
                <w:rFonts w:cs="Arial"/>
                <w:szCs w:val="24"/>
              </w:rPr>
              <w:t>approves</w:t>
            </w:r>
            <w:r w:rsidR="00311B6D" w:rsidRPr="00663391">
              <w:rPr>
                <w:rFonts w:cs="Arial"/>
                <w:szCs w:val="24"/>
              </w:rPr>
              <w:t xml:space="preserve"> debt</w:t>
            </w:r>
            <w:r w:rsidR="00136FFC">
              <w:rPr>
                <w:rFonts w:cs="Arial"/>
                <w:szCs w:val="24"/>
              </w:rPr>
              <w:t>s</w:t>
            </w:r>
            <w:r w:rsidR="00311B6D" w:rsidRPr="00C15319">
              <w:rPr>
                <w:rFonts w:cs="Arial"/>
                <w:szCs w:val="24"/>
              </w:rPr>
              <w:t xml:space="preserve"> write off</w:t>
            </w:r>
            <w:r w:rsidRPr="000E3FBF">
              <w:rPr>
                <w:rFonts w:cs="Arial"/>
                <w:szCs w:val="24"/>
              </w:rPr>
              <w:t>s</w:t>
            </w:r>
            <w:r w:rsidR="00311B6D" w:rsidRPr="00663391">
              <w:rPr>
                <w:rFonts w:cs="Arial"/>
                <w:szCs w:val="24"/>
              </w:rPr>
              <w:t xml:space="preserve"> as specified in paragraph 2.</w:t>
            </w:r>
            <w:r w:rsidR="004A6B64">
              <w:rPr>
                <w:rFonts w:cs="Arial"/>
                <w:szCs w:val="24"/>
              </w:rPr>
              <w:t>7</w:t>
            </w:r>
            <w:r w:rsidR="00775C04">
              <w:rPr>
                <w:rFonts w:cs="Arial"/>
                <w:szCs w:val="24"/>
              </w:rPr>
              <w:t>7</w:t>
            </w:r>
            <w:r w:rsidR="00311B6D" w:rsidRPr="00C15319">
              <w:rPr>
                <w:rFonts w:cs="Arial"/>
                <w:szCs w:val="24"/>
              </w:rPr>
              <w:t xml:space="preserve"> </w:t>
            </w:r>
            <w:r w:rsidR="00311B6D" w:rsidRPr="000E3FBF">
              <w:rPr>
                <w:rFonts w:cs="Arial"/>
                <w:szCs w:val="24"/>
              </w:rPr>
              <w:t xml:space="preserve">to </w:t>
            </w:r>
            <w:r w:rsidR="008D2420" w:rsidRPr="00663391">
              <w:rPr>
                <w:rFonts w:cs="Arial"/>
                <w:szCs w:val="24"/>
              </w:rPr>
              <w:t>2.</w:t>
            </w:r>
            <w:r w:rsidR="00982514">
              <w:rPr>
                <w:rFonts w:cs="Arial"/>
                <w:szCs w:val="24"/>
              </w:rPr>
              <w:t>7</w:t>
            </w:r>
            <w:r w:rsidR="00775C04">
              <w:rPr>
                <w:rFonts w:cs="Arial"/>
                <w:szCs w:val="24"/>
              </w:rPr>
              <w:t>8</w:t>
            </w:r>
            <w:r w:rsidR="00E90939">
              <w:rPr>
                <w:rFonts w:cs="Arial"/>
                <w:szCs w:val="24"/>
              </w:rPr>
              <w:t xml:space="preserve"> and paragraph 5.2.</w:t>
            </w:r>
          </w:p>
          <w:p w:rsidR="00883715" w:rsidRDefault="00883715" w:rsidP="00D32FE5">
            <w:pPr>
              <w:pStyle w:val="ListParagraph"/>
            </w:pPr>
          </w:p>
          <w:p w:rsidR="00251CCC" w:rsidRDefault="00883715" w:rsidP="008C337C">
            <w:pPr>
              <w:pStyle w:val="BodyText3"/>
              <w:numPr>
                <w:ilvl w:val="0"/>
                <w:numId w:val="174"/>
              </w:numPr>
            </w:pPr>
            <w:r w:rsidRPr="00883715">
              <w:t xml:space="preserve">That Cabinet approves the proposed addition to </w:t>
            </w:r>
            <w:r w:rsidR="00C15319">
              <w:t>the C</w:t>
            </w:r>
            <w:r w:rsidRPr="00883715">
              <w:t xml:space="preserve">apital </w:t>
            </w:r>
            <w:r w:rsidR="00C15319">
              <w:t>P</w:t>
            </w:r>
            <w:r w:rsidRPr="00883715">
              <w:t xml:space="preserve">rogramme as </w:t>
            </w:r>
            <w:r w:rsidR="004D7367">
              <w:t xml:space="preserve">set out at </w:t>
            </w:r>
            <w:r w:rsidRPr="00883715">
              <w:t>paragraph</w:t>
            </w:r>
            <w:r w:rsidR="00C15319">
              <w:t>s</w:t>
            </w:r>
            <w:r w:rsidR="00F41544">
              <w:t xml:space="preserve"> 3.</w:t>
            </w:r>
            <w:r w:rsidR="00E33897">
              <w:t>3</w:t>
            </w:r>
            <w:r w:rsidR="009B4C8D">
              <w:t>8</w:t>
            </w:r>
            <w:r w:rsidR="008D2420">
              <w:t xml:space="preserve"> to 3.4</w:t>
            </w:r>
            <w:r w:rsidR="00F022DB">
              <w:t>2</w:t>
            </w:r>
            <w:r w:rsidR="00B9295B">
              <w:t>.</w:t>
            </w:r>
          </w:p>
          <w:p w:rsidR="00810ACE" w:rsidRDefault="00810ACE" w:rsidP="008C337C">
            <w:pPr>
              <w:pStyle w:val="BodyText3"/>
              <w:ind w:left="720"/>
            </w:pPr>
          </w:p>
          <w:p w:rsidR="00810ACE" w:rsidRDefault="00810ACE" w:rsidP="008C337C">
            <w:pPr>
              <w:pStyle w:val="BodyText3"/>
              <w:numPr>
                <w:ilvl w:val="0"/>
                <w:numId w:val="174"/>
              </w:numPr>
            </w:pPr>
            <w:r w:rsidRPr="00810ACE">
              <w:t xml:space="preserve">That Cabinet note the Quarter 2 performance reports from </w:t>
            </w:r>
            <w:proofErr w:type="spellStart"/>
            <w:r w:rsidRPr="00810ACE">
              <w:t>Sancroft</w:t>
            </w:r>
            <w:proofErr w:type="spellEnd"/>
            <w:r w:rsidRPr="00810ACE">
              <w:t xml:space="preserve"> Community Care specified in Appendix 5 (Part II report).</w:t>
            </w:r>
          </w:p>
          <w:p w:rsidR="00251CCC" w:rsidRDefault="00251CCC" w:rsidP="00BC03D5">
            <w:pPr>
              <w:pStyle w:val="ListParagraph"/>
            </w:pPr>
          </w:p>
          <w:p w:rsidR="004F7C92" w:rsidRDefault="004F7C92" w:rsidP="00BC03D5">
            <w:pPr>
              <w:pStyle w:val="BodyText3"/>
              <w:ind w:left="1080"/>
            </w:pPr>
          </w:p>
          <w:p w:rsidR="00696FC4" w:rsidRPr="0042758F" w:rsidRDefault="0042758F" w:rsidP="004E7384">
            <w:pPr>
              <w:pStyle w:val="ListParagraph"/>
              <w:ind w:left="1080" w:right="-480"/>
              <w:rPr>
                <w:rFonts w:cs="Arial"/>
                <w:color w:val="FF0000"/>
                <w:szCs w:val="24"/>
                <w:highlight w:val="yellow"/>
              </w:rPr>
            </w:pPr>
            <w:r w:rsidRPr="0042758F">
              <w:rPr>
                <w:rFonts w:cs="Arial"/>
                <w:szCs w:val="24"/>
              </w:rPr>
              <w:t xml:space="preserve"> </w:t>
            </w:r>
            <w:r w:rsidR="00591C57" w:rsidRPr="0042758F">
              <w:rPr>
                <w:rFonts w:cs="Arial"/>
                <w:szCs w:val="24"/>
              </w:rPr>
              <w:t xml:space="preserve"> </w:t>
            </w:r>
          </w:p>
          <w:p w:rsidR="00457774" w:rsidRPr="00944147" w:rsidRDefault="00457774" w:rsidP="00457774">
            <w:pPr>
              <w:pStyle w:val="BodyText3"/>
              <w:jc w:val="left"/>
              <w:rPr>
                <w:b/>
                <w:bCs/>
                <w:u w:val="single"/>
              </w:rPr>
            </w:pPr>
            <w:r w:rsidRPr="00944147">
              <w:rPr>
                <w:b/>
                <w:bCs/>
                <w:u w:val="single"/>
              </w:rPr>
              <w:t>Reason (for recommendation)</w:t>
            </w:r>
          </w:p>
          <w:p w:rsidR="00A0165C" w:rsidRDefault="00627565" w:rsidP="001218AC">
            <w:pPr>
              <w:ind w:right="-480"/>
              <w:rPr>
                <w:rFonts w:cs="Arial"/>
              </w:rPr>
            </w:pPr>
            <w:r w:rsidRPr="00627565">
              <w:rPr>
                <w:rFonts w:cs="Arial"/>
              </w:rPr>
              <w:t>To</w:t>
            </w:r>
            <w:r>
              <w:rPr>
                <w:rFonts w:cs="Arial"/>
              </w:rPr>
              <w:t xml:space="preserve"> report the 20</w:t>
            </w:r>
            <w:r w:rsidRPr="00627565">
              <w:rPr>
                <w:rFonts w:cs="Arial"/>
              </w:rPr>
              <w:t>18</w:t>
            </w:r>
            <w:r>
              <w:rPr>
                <w:rFonts w:cs="Arial"/>
              </w:rPr>
              <w:t>/19</w:t>
            </w:r>
            <w:r w:rsidRPr="00627565">
              <w:rPr>
                <w:rFonts w:cs="Arial"/>
              </w:rPr>
              <w:t xml:space="preserve"> forecast fina</w:t>
            </w:r>
            <w:r>
              <w:rPr>
                <w:rFonts w:cs="Arial"/>
              </w:rPr>
              <w:t xml:space="preserve">ncial position as at </w:t>
            </w:r>
            <w:r w:rsidR="002F5097">
              <w:rPr>
                <w:rFonts w:cs="Arial"/>
              </w:rPr>
              <w:t>Quarter 2 (</w:t>
            </w:r>
            <w:r>
              <w:rPr>
                <w:rFonts w:cs="Arial"/>
              </w:rPr>
              <w:t>3</w:t>
            </w:r>
            <w:r w:rsidR="00251CCC">
              <w:rPr>
                <w:rFonts w:cs="Arial"/>
              </w:rPr>
              <w:t>0</w:t>
            </w:r>
            <w:r w:rsidR="00D37115" w:rsidRPr="008C337C">
              <w:rPr>
                <w:rFonts w:cs="Arial"/>
                <w:vertAlign w:val="superscript"/>
              </w:rPr>
              <w:t>th</w:t>
            </w:r>
            <w:r w:rsidR="00D37115">
              <w:rPr>
                <w:rFonts w:cs="Arial"/>
              </w:rPr>
              <w:t xml:space="preserve"> September</w:t>
            </w:r>
            <w:r>
              <w:rPr>
                <w:rFonts w:cs="Arial"/>
              </w:rPr>
              <w:t xml:space="preserve"> 2018</w:t>
            </w:r>
            <w:r w:rsidR="002F5097">
              <w:rPr>
                <w:rFonts w:cs="Arial"/>
              </w:rPr>
              <w:t>)</w:t>
            </w:r>
            <w:r w:rsidR="001218AC">
              <w:rPr>
                <w:rFonts w:cs="Arial"/>
              </w:rPr>
              <w:t xml:space="preserve"> and </w:t>
            </w:r>
            <w:r w:rsidR="00251CCC" w:rsidRPr="00251CCC">
              <w:rPr>
                <w:rFonts w:cs="Arial"/>
              </w:rPr>
              <w:t>seek</w:t>
            </w:r>
            <w:r w:rsidR="001F7015">
              <w:rPr>
                <w:rFonts w:cs="Arial"/>
              </w:rPr>
              <w:t>s</w:t>
            </w:r>
            <w:r w:rsidR="00251CCC" w:rsidRPr="00251CCC">
              <w:rPr>
                <w:rFonts w:cs="Arial"/>
              </w:rPr>
              <w:t xml:space="preserve"> Cabinet approval for </w:t>
            </w:r>
            <w:r w:rsidR="00C15319">
              <w:rPr>
                <w:rFonts w:cs="Arial"/>
              </w:rPr>
              <w:t>C</w:t>
            </w:r>
            <w:r w:rsidR="00251CCC" w:rsidRPr="00251CCC">
              <w:rPr>
                <w:rFonts w:cs="Arial"/>
              </w:rPr>
              <w:t xml:space="preserve">apital </w:t>
            </w:r>
            <w:r w:rsidR="00C15319">
              <w:rPr>
                <w:rFonts w:cs="Arial"/>
              </w:rPr>
              <w:t>P</w:t>
            </w:r>
            <w:r w:rsidR="00251CCC" w:rsidRPr="00251CCC">
              <w:rPr>
                <w:rFonts w:cs="Arial"/>
              </w:rPr>
              <w:t xml:space="preserve">rogramme adjustments </w:t>
            </w:r>
            <w:r w:rsidR="001218AC" w:rsidRPr="001218AC">
              <w:rPr>
                <w:rFonts w:cs="Arial"/>
              </w:rPr>
              <w:t xml:space="preserve">and debts write offs which require Cabinet </w:t>
            </w:r>
          </w:p>
          <w:p w:rsidR="001218AC" w:rsidRPr="001218AC" w:rsidRDefault="00C15319" w:rsidP="001218AC">
            <w:pPr>
              <w:ind w:right="-480"/>
              <w:rPr>
                <w:rFonts w:cs="Arial"/>
              </w:rPr>
            </w:pPr>
            <w:r>
              <w:rPr>
                <w:rFonts w:cs="Arial"/>
              </w:rPr>
              <w:t>a</w:t>
            </w:r>
            <w:r w:rsidR="001218AC" w:rsidRPr="001218AC">
              <w:rPr>
                <w:rFonts w:cs="Arial"/>
              </w:rPr>
              <w:t>pproval</w:t>
            </w:r>
            <w:r>
              <w:rPr>
                <w:rFonts w:cs="Arial"/>
              </w:rPr>
              <w:t xml:space="preserve"> </w:t>
            </w:r>
            <w:r w:rsidR="001218AC" w:rsidRPr="001218AC">
              <w:rPr>
                <w:rFonts w:cs="Arial"/>
              </w:rPr>
              <w:t xml:space="preserve"> in accordance with Financial Regulations.</w:t>
            </w:r>
          </w:p>
          <w:p w:rsidR="00457774" w:rsidRPr="006F766E" w:rsidRDefault="00457774">
            <w:pPr>
              <w:ind w:right="-480"/>
              <w:rPr>
                <w:rFonts w:cs="Arial"/>
                <w:color w:val="FF0000"/>
                <w:szCs w:val="24"/>
                <w:highlight w:val="yellow"/>
              </w:rPr>
            </w:pPr>
          </w:p>
        </w:tc>
      </w:tr>
      <w:tr w:rsidR="001218AC" w:rsidRPr="00944147" w:rsidTr="00EC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0456" w:type="dxa"/>
            <w:gridSpan w:val="6"/>
          </w:tcPr>
          <w:p w:rsidR="001218AC" w:rsidRPr="00627565" w:rsidRDefault="001218AC" w:rsidP="009274CD">
            <w:pPr>
              <w:pStyle w:val="BodyText3"/>
            </w:pPr>
          </w:p>
        </w:tc>
      </w:tr>
    </w:tbl>
    <w:p w:rsidR="00484862" w:rsidRDefault="00484862" w:rsidP="00484862"/>
    <w:p w:rsidR="00696FC4" w:rsidRDefault="00696FC4">
      <w:pPr>
        <w:pStyle w:val="Heading1"/>
      </w:pPr>
      <w:r>
        <w:t>Section 2 – Report</w:t>
      </w:r>
    </w:p>
    <w:p w:rsidR="00696FC4" w:rsidRDefault="00696FC4">
      <w:pPr>
        <w:rPr>
          <w:rFonts w:cs="Arial"/>
        </w:rPr>
      </w:pPr>
    </w:p>
    <w:p w:rsidR="00DD7468" w:rsidRPr="0094250E" w:rsidRDefault="006A4E63" w:rsidP="00AA3B74">
      <w:pPr>
        <w:pStyle w:val="ListParagraph"/>
        <w:numPr>
          <w:ilvl w:val="0"/>
          <w:numId w:val="13"/>
        </w:numPr>
        <w:ind w:left="284" w:hanging="568"/>
        <w:rPr>
          <w:rFonts w:cs="Arial"/>
          <w:b/>
          <w:u w:val="single"/>
        </w:rPr>
      </w:pPr>
      <w:r w:rsidRPr="0094250E">
        <w:rPr>
          <w:rFonts w:cs="Arial"/>
          <w:b/>
          <w:u w:val="single"/>
        </w:rPr>
        <w:t>INTRODUCTION</w:t>
      </w:r>
    </w:p>
    <w:p w:rsidR="00DD7468" w:rsidRPr="00DD7468" w:rsidRDefault="00DD7468" w:rsidP="00AA3B74">
      <w:pPr>
        <w:pStyle w:val="ListParagraph"/>
        <w:ind w:left="360"/>
        <w:rPr>
          <w:rFonts w:cs="Arial"/>
          <w:b/>
        </w:rPr>
      </w:pPr>
    </w:p>
    <w:p w:rsidR="00DD7468" w:rsidRPr="00DE4079" w:rsidRDefault="00512925">
      <w:pPr>
        <w:pStyle w:val="ListParagraph"/>
        <w:numPr>
          <w:ilvl w:val="0"/>
          <w:numId w:val="13"/>
        </w:numPr>
        <w:ind w:left="567" w:right="306" w:hanging="567"/>
        <w:jc w:val="both"/>
        <w:rPr>
          <w:rFonts w:cs="Arial"/>
        </w:rPr>
      </w:pPr>
      <w:r>
        <w:rPr>
          <w:rFonts w:cs="Arial"/>
        </w:rPr>
        <w:t xml:space="preserve">As at </w:t>
      </w:r>
      <w:r w:rsidR="00225A62" w:rsidRPr="00DE4079">
        <w:rPr>
          <w:rFonts w:cs="Arial"/>
        </w:rPr>
        <w:t xml:space="preserve"> </w:t>
      </w:r>
      <w:r w:rsidR="00DE4079">
        <w:rPr>
          <w:rFonts w:cs="Arial"/>
        </w:rPr>
        <w:t>Q</w:t>
      </w:r>
      <w:r w:rsidR="0034576C" w:rsidRPr="00DE4079">
        <w:rPr>
          <w:rFonts w:cs="Arial"/>
        </w:rPr>
        <w:t xml:space="preserve">uarter </w:t>
      </w:r>
      <w:r w:rsidR="004B029B" w:rsidRPr="00DE4079">
        <w:rPr>
          <w:rFonts w:cs="Arial"/>
        </w:rPr>
        <w:t>2</w:t>
      </w:r>
      <w:r w:rsidR="00225A62" w:rsidRPr="00DE4079">
        <w:rPr>
          <w:rFonts w:cs="Arial"/>
        </w:rPr>
        <w:t xml:space="preserve"> (3</w:t>
      </w:r>
      <w:r w:rsidR="0034576C" w:rsidRPr="00DE4079">
        <w:rPr>
          <w:rFonts w:cs="Arial"/>
        </w:rPr>
        <w:t>0</w:t>
      </w:r>
      <w:r w:rsidR="0034576C" w:rsidRPr="00DE4079">
        <w:rPr>
          <w:rFonts w:cs="Arial"/>
          <w:vertAlign w:val="superscript"/>
        </w:rPr>
        <w:t>th</w:t>
      </w:r>
      <w:r w:rsidR="00225A62" w:rsidRPr="00DE4079">
        <w:rPr>
          <w:rFonts w:cs="Arial"/>
        </w:rPr>
        <w:t xml:space="preserve"> </w:t>
      </w:r>
      <w:r w:rsidR="00D37115" w:rsidRPr="00DE4079">
        <w:rPr>
          <w:rFonts w:cs="Arial"/>
        </w:rPr>
        <w:t>September</w:t>
      </w:r>
      <w:r w:rsidR="00225A62" w:rsidRPr="00DE4079">
        <w:rPr>
          <w:rFonts w:cs="Arial"/>
        </w:rPr>
        <w:t xml:space="preserve"> 2018) the</w:t>
      </w:r>
      <w:r w:rsidR="001E501D">
        <w:rPr>
          <w:rFonts w:cs="Arial"/>
        </w:rPr>
        <w:t>re is a forecast revenue overspend on Dire</w:t>
      </w:r>
      <w:r>
        <w:rPr>
          <w:rFonts w:cs="Arial"/>
        </w:rPr>
        <w:t xml:space="preserve">ctorate budgets of £4.55m. Following the planned application of reserves </w:t>
      </w:r>
      <w:r w:rsidR="001E501D">
        <w:rPr>
          <w:rFonts w:cs="Arial"/>
        </w:rPr>
        <w:t>(</w:t>
      </w:r>
      <w:r>
        <w:rPr>
          <w:rFonts w:cs="Arial"/>
        </w:rPr>
        <w:t>which have largely been ap</w:t>
      </w:r>
      <w:r w:rsidR="001E501D">
        <w:rPr>
          <w:rFonts w:cs="Arial"/>
        </w:rPr>
        <w:t>p</w:t>
      </w:r>
      <w:r>
        <w:rPr>
          <w:rFonts w:cs="Arial"/>
        </w:rPr>
        <w:t xml:space="preserve">lied to fund </w:t>
      </w:r>
      <w:r w:rsidR="001E501D">
        <w:rPr>
          <w:rFonts w:cs="Arial"/>
        </w:rPr>
        <w:t>one-off projects), one off income received after budget setting and a contribution to spending controls of £1.1m, there is a forecast net underspend of £2.2m.</w:t>
      </w:r>
      <w:r w:rsidR="00DE4079">
        <w:rPr>
          <w:rFonts w:cs="Arial"/>
        </w:rPr>
        <w:t xml:space="preserve"> T</w:t>
      </w:r>
      <w:r w:rsidR="00225A62" w:rsidRPr="00DE4079">
        <w:rPr>
          <w:rFonts w:cs="Arial"/>
        </w:rPr>
        <w:t>he forecast</w:t>
      </w:r>
      <w:r w:rsidR="00DD7468" w:rsidRPr="00DE4079">
        <w:rPr>
          <w:rFonts w:cs="Arial"/>
        </w:rPr>
        <w:t xml:space="preserve"> position </w:t>
      </w:r>
      <w:r w:rsidR="00627565" w:rsidRPr="00DE4079">
        <w:rPr>
          <w:rFonts w:cs="Arial"/>
        </w:rPr>
        <w:t xml:space="preserve">at </w:t>
      </w:r>
      <w:r w:rsidR="00DE4079">
        <w:rPr>
          <w:rFonts w:cs="Arial"/>
        </w:rPr>
        <w:t>Q</w:t>
      </w:r>
      <w:r w:rsidR="0034576C" w:rsidRPr="00DE4079">
        <w:rPr>
          <w:rFonts w:cs="Arial"/>
        </w:rPr>
        <w:t xml:space="preserve">uarter </w:t>
      </w:r>
      <w:r w:rsidR="00D37115" w:rsidRPr="00DE4079">
        <w:rPr>
          <w:rFonts w:cs="Arial"/>
        </w:rPr>
        <w:t>2</w:t>
      </w:r>
      <w:r w:rsidR="00627565" w:rsidRPr="00DE4079">
        <w:rPr>
          <w:rFonts w:cs="Arial"/>
        </w:rPr>
        <w:t xml:space="preserve"> </w:t>
      </w:r>
      <w:r w:rsidR="00DD7468" w:rsidRPr="00DE4079">
        <w:rPr>
          <w:rFonts w:cs="Arial"/>
        </w:rPr>
        <w:t>is summarised below</w:t>
      </w:r>
      <w:r w:rsidR="00162804">
        <w:rPr>
          <w:rFonts w:cs="Arial"/>
        </w:rPr>
        <w:t>:</w:t>
      </w:r>
    </w:p>
    <w:p w:rsidR="00273D3A" w:rsidRPr="0035625F" w:rsidRDefault="00E637E6" w:rsidP="00AA3B74">
      <w:pPr>
        <w:ind w:left="6480" w:right="306" w:firstLine="720"/>
        <w:jc w:val="both"/>
        <w:rPr>
          <w:rFonts w:cs="Arial"/>
        </w:rPr>
      </w:pPr>
      <w:r w:rsidRPr="006F766E">
        <w:rPr>
          <w:rFonts w:cs="Arial"/>
        </w:rPr>
        <w:t xml:space="preserve"> </w:t>
      </w:r>
      <w:r w:rsidR="00DD7468">
        <w:rPr>
          <w:rFonts w:cs="Arial"/>
        </w:rPr>
        <w:tab/>
        <w:t xml:space="preserve">  </w:t>
      </w:r>
      <w:r w:rsidRPr="006F766E">
        <w:rPr>
          <w:rFonts w:cs="Arial"/>
        </w:rPr>
        <w:t xml:space="preserve">  </w:t>
      </w:r>
      <w:r w:rsidR="000830CB">
        <w:rPr>
          <w:rFonts w:cs="Arial"/>
        </w:rPr>
        <w:t xml:space="preserve">  </w:t>
      </w:r>
      <w:r w:rsidRPr="0035625F">
        <w:rPr>
          <w:rFonts w:cs="Arial"/>
        </w:rPr>
        <w:t>£m</w:t>
      </w:r>
    </w:p>
    <w:p w:rsidR="0034576C" w:rsidRDefault="0034576C" w:rsidP="00AA3B74">
      <w:pPr>
        <w:pStyle w:val="ListParagraph"/>
        <w:numPr>
          <w:ilvl w:val="1"/>
          <w:numId w:val="59"/>
        </w:numPr>
        <w:ind w:left="709" w:right="306" w:firstLine="0"/>
        <w:jc w:val="both"/>
        <w:rPr>
          <w:rFonts w:cs="Arial"/>
        </w:rPr>
      </w:pPr>
      <w:r>
        <w:rPr>
          <w:rFonts w:cs="Arial"/>
        </w:rPr>
        <w:t xml:space="preserve">Resources and Commercial Directorate underspend </w:t>
      </w:r>
      <w:r>
        <w:rPr>
          <w:rFonts w:cs="Arial"/>
        </w:rPr>
        <w:tab/>
      </w:r>
      <w:r>
        <w:rPr>
          <w:rFonts w:cs="Arial"/>
        </w:rPr>
        <w:tab/>
        <w:t xml:space="preserve">   </w:t>
      </w:r>
      <w:r w:rsidR="000830CB">
        <w:rPr>
          <w:rFonts w:cs="Arial"/>
        </w:rPr>
        <w:t xml:space="preserve"> </w:t>
      </w:r>
      <w:r>
        <w:rPr>
          <w:rFonts w:cs="Arial"/>
        </w:rPr>
        <w:t>(0.</w:t>
      </w:r>
      <w:r w:rsidR="00D4465D">
        <w:rPr>
          <w:rFonts w:cs="Arial"/>
        </w:rPr>
        <w:t>618</w:t>
      </w:r>
      <w:r>
        <w:rPr>
          <w:rFonts w:cs="Arial"/>
        </w:rPr>
        <w:t>)</w:t>
      </w:r>
      <w:r w:rsidR="006A69AA" w:rsidRPr="0035625F">
        <w:rPr>
          <w:rFonts w:cs="Arial"/>
        </w:rPr>
        <w:t xml:space="preserve"> </w:t>
      </w:r>
    </w:p>
    <w:p w:rsidR="00D4465D" w:rsidRDefault="0035625F" w:rsidP="00AA3B74">
      <w:pPr>
        <w:pStyle w:val="ListParagraph"/>
        <w:numPr>
          <w:ilvl w:val="0"/>
          <w:numId w:val="59"/>
        </w:numPr>
        <w:ind w:right="306" w:hanging="11"/>
        <w:jc w:val="both"/>
        <w:rPr>
          <w:rFonts w:cs="Arial"/>
        </w:rPr>
      </w:pPr>
      <w:r w:rsidRPr="0094250E">
        <w:rPr>
          <w:rFonts w:cs="Arial"/>
        </w:rPr>
        <w:t xml:space="preserve">Environment and Culture overspend </w:t>
      </w:r>
      <w:r w:rsidR="00E637E6" w:rsidRPr="0035625F">
        <w:rPr>
          <w:rFonts w:cs="Arial"/>
        </w:rPr>
        <w:t xml:space="preserve">      </w:t>
      </w:r>
      <w:r w:rsidR="00E637E6" w:rsidRPr="0035625F">
        <w:rPr>
          <w:rFonts w:cs="Arial"/>
        </w:rPr>
        <w:tab/>
      </w:r>
      <w:r w:rsidR="00E637E6" w:rsidRPr="0035625F">
        <w:rPr>
          <w:rFonts w:cs="Arial"/>
        </w:rPr>
        <w:tab/>
      </w:r>
      <w:r w:rsidR="002266F5" w:rsidRPr="0035625F">
        <w:rPr>
          <w:rFonts w:cs="Arial"/>
        </w:rPr>
        <w:tab/>
      </w:r>
      <w:r w:rsidR="002266F5" w:rsidRPr="0035625F">
        <w:rPr>
          <w:rFonts w:cs="Arial"/>
        </w:rPr>
        <w:tab/>
      </w:r>
      <w:r w:rsidR="00E637E6" w:rsidRPr="00A54D8E">
        <w:rPr>
          <w:rFonts w:cs="Arial"/>
        </w:rPr>
        <w:t xml:space="preserve"> </w:t>
      </w:r>
      <w:r w:rsidR="0034576C">
        <w:rPr>
          <w:rFonts w:cs="Arial"/>
        </w:rPr>
        <w:t xml:space="preserve">  </w:t>
      </w:r>
      <w:r w:rsidR="00656DC5">
        <w:rPr>
          <w:rFonts w:cs="Arial"/>
        </w:rPr>
        <w:t xml:space="preserve"> </w:t>
      </w:r>
      <w:r w:rsidR="00D4465D">
        <w:rPr>
          <w:rFonts w:cs="Arial"/>
        </w:rPr>
        <w:t xml:space="preserve"> </w:t>
      </w:r>
      <w:r w:rsidRPr="00A54D8E">
        <w:rPr>
          <w:rFonts w:cs="Arial"/>
        </w:rPr>
        <w:t>0.</w:t>
      </w:r>
      <w:r w:rsidR="007B12C5">
        <w:rPr>
          <w:rFonts w:cs="Arial"/>
        </w:rPr>
        <w:t>710</w:t>
      </w:r>
    </w:p>
    <w:p w:rsidR="004C510E" w:rsidRDefault="0034576C" w:rsidP="00AA3B74">
      <w:pPr>
        <w:pStyle w:val="ListParagraph"/>
        <w:numPr>
          <w:ilvl w:val="0"/>
          <w:numId w:val="59"/>
        </w:numPr>
        <w:ind w:right="306" w:hanging="11"/>
        <w:jc w:val="both"/>
        <w:rPr>
          <w:rFonts w:cs="Arial"/>
        </w:rPr>
      </w:pPr>
      <w:r>
        <w:rPr>
          <w:rFonts w:cs="Arial"/>
        </w:rPr>
        <w:t xml:space="preserve">Adult services overspend </w:t>
      </w:r>
      <w:r>
        <w:rPr>
          <w:rFonts w:cs="Arial"/>
        </w:rPr>
        <w:tab/>
      </w:r>
      <w:r>
        <w:rPr>
          <w:rFonts w:cs="Arial"/>
        </w:rPr>
        <w:tab/>
      </w:r>
      <w:r>
        <w:rPr>
          <w:rFonts w:cs="Arial"/>
        </w:rPr>
        <w:tab/>
      </w:r>
      <w:r>
        <w:rPr>
          <w:rFonts w:cs="Arial"/>
        </w:rPr>
        <w:tab/>
      </w:r>
      <w:r>
        <w:rPr>
          <w:rFonts w:cs="Arial"/>
        </w:rPr>
        <w:tab/>
      </w:r>
      <w:r>
        <w:rPr>
          <w:rFonts w:cs="Arial"/>
        </w:rPr>
        <w:tab/>
        <w:t xml:space="preserve">    </w:t>
      </w:r>
      <w:r w:rsidR="00D4465D">
        <w:rPr>
          <w:rFonts w:cs="Arial"/>
        </w:rPr>
        <w:t xml:space="preserve"> </w:t>
      </w:r>
      <w:r w:rsidR="004C510E">
        <w:rPr>
          <w:rFonts w:cs="Arial"/>
        </w:rPr>
        <w:t>5.022</w:t>
      </w:r>
    </w:p>
    <w:p w:rsidR="00A97004" w:rsidRDefault="00706829" w:rsidP="00AA3B74">
      <w:pPr>
        <w:pStyle w:val="ListParagraph"/>
        <w:numPr>
          <w:ilvl w:val="0"/>
          <w:numId w:val="59"/>
        </w:numPr>
        <w:ind w:right="306" w:hanging="11"/>
        <w:jc w:val="both"/>
        <w:rPr>
          <w:rFonts w:cs="Arial"/>
        </w:rPr>
      </w:pPr>
      <w:r>
        <w:rPr>
          <w:rFonts w:cs="Arial"/>
        </w:rPr>
        <w:t>One-off Adult Social care funding</w:t>
      </w:r>
      <w:r w:rsidR="004C510E">
        <w:rPr>
          <w:rFonts w:cs="Arial"/>
        </w:rPr>
        <w:tab/>
      </w:r>
      <w:r w:rsidR="004C510E">
        <w:rPr>
          <w:rFonts w:cs="Arial"/>
        </w:rPr>
        <w:tab/>
      </w:r>
      <w:r w:rsidR="004C510E">
        <w:rPr>
          <w:rFonts w:cs="Arial"/>
        </w:rPr>
        <w:tab/>
      </w:r>
      <w:r w:rsidR="004C510E">
        <w:rPr>
          <w:rFonts w:cs="Arial"/>
        </w:rPr>
        <w:tab/>
      </w:r>
      <w:r w:rsidR="004C510E">
        <w:rPr>
          <w:rFonts w:cs="Arial"/>
        </w:rPr>
        <w:tab/>
        <w:t xml:space="preserve">    (1.576)</w:t>
      </w:r>
    </w:p>
    <w:p w:rsidR="0034576C" w:rsidRDefault="00A97004" w:rsidP="00AA3B74">
      <w:pPr>
        <w:pStyle w:val="ListParagraph"/>
        <w:numPr>
          <w:ilvl w:val="0"/>
          <w:numId w:val="59"/>
        </w:numPr>
        <w:ind w:right="306" w:hanging="11"/>
        <w:jc w:val="both"/>
        <w:rPr>
          <w:rFonts w:cs="Arial"/>
        </w:rPr>
      </w:pPr>
      <w:r>
        <w:rPr>
          <w:rFonts w:cs="Arial"/>
        </w:rPr>
        <w:t>Public Health</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D4465D">
        <w:rPr>
          <w:rFonts w:cs="Arial"/>
        </w:rPr>
        <w:t>(0.</w:t>
      </w:r>
      <w:r w:rsidR="00941BD7">
        <w:rPr>
          <w:rFonts w:cs="Arial"/>
        </w:rPr>
        <w:t>250</w:t>
      </w:r>
      <w:r w:rsidR="00656DC5">
        <w:rPr>
          <w:rFonts w:cs="Arial"/>
        </w:rPr>
        <w:t>)</w:t>
      </w:r>
    </w:p>
    <w:p w:rsidR="00D37115" w:rsidRDefault="00D37115" w:rsidP="00AA3B74">
      <w:pPr>
        <w:pStyle w:val="ListParagraph"/>
        <w:numPr>
          <w:ilvl w:val="0"/>
          <w:numId w:val="59"/>
        </w:numPr>
        <w:ind w:right="306" w:hanging="11"/>
        <w:jc w:val="both"/>
        <w:rPr>
          <w:rFonts w:cs="Arial"/>
        </w:rPr>
      </w:pPr>
      <w:r>
        <w:rPr>
          <w:rFonts w:cs="Arial"/>
        </w:rPr>
        <w:t>Children</w:t>
      </w:r>
      <w:r w:rsidR="00A50A0E">
        <w:rPr>
          <w:rFonts w:cs="Arial"/>
        </w:rPr>
        <w:t>’s Services</w:t>
      </w:r>
      <w:r w:rsidR="00A27ACB">
        <w:rPr>
          <w:rFonts w:cs="Arial"/>
        </w:rPr>
        <w:tab/>
      </w:r>
      <w:r w:rsidR="00A27ACB">
        <w:rPr>
          <w:rFonts w:cs="Arial"/>
        </w:rPr>
        <w:tab/>
      </w:r>
      <w:r w:rsidR="00A27ACB">
        <w:rPr>
          <w:rFonts w:cs="Arial"/>
        </w:rPr>
        <w:tab/>
      </w:r>
      <w:r w:rsidR="00A27ACB">
        <w:rPr>
          <w:rFonts w:cs="Arial"/>
        </w:rPr>
        <w:tab/>
      </w:r>
      <w:r w:rsidR="00A27ACB">
        <w:rPr>
          <w:rFonts w:cs="Arial"/>
        </w:rPr>
        <w:tab/>
      </w:r>
      <w:r w:rsidR="00A27ACB">
        <w:rPr>
          <w:rFonts w:cs="Arial"/>
        </w:rPr>
        <w:tab/>
      </w:r>
      <w:r w:rsidR="00A27ACB">
        <w:rPr>
          <w:rFonts w:cs="Arial"/>
        </w:rPr>
        <w:tab/>
        <w:t xml:space="preserve">    (0.314</w:t>
      </w:r>
      <w:r w:rsidR="00656DC5">
        <w:rPr>
          <w:rFonts w:cs="Arial"/>
        </w:rPr>
        <w:t>)</w:t>
      </w:r>
    </w:p>
    <w:p w:rsidR="00A271A2" w:rsidRDefault="00A50A0E" w:rsidP="00AA3B74">
      <w:pPr>
        <w:pStyle w:val="ListParagraph"/>
        <w:numPr>
          <w:ilvl w:val="0"/>
          <w:numId w:val="59"/>
        </w:numPr>
        <w:ind w:right="306" w:hanging="11"/>
        <w:jc w:val="both"/>
        <w:rPr>
          <w:rFonts w:cs="Arial"/>
        </w:rPr>
      </w:pPr>
      <w:r>
        <w:rPr>
          <w:rFonts w:cs="Arial"/>
        </w:rPr>
        <w:t>20</w:t>
      </w:r>
      <w:r w:rsidR="00656DC5">
        <w:rPr>
          <w:rFonts w:cs="Arial"/>
        </w:rPr>
        <w:t>1</w:t>
      </w:r>
      <w:r w:rsidR="00A271A2">
        <w:rPr>
          <w:rFonts w:cs="Arial"/>
        </w:rPr>
        <w:t>8/19 Contribution to spending control</w:t>
      </w:r>
      <w:r w:rsidR="00C15319">
        <w:rPr>
          <w:rFonts w:cs="Arial"/>
        </w:rPr>
        <w:t>s</w:t>
      </w:r>
      <w:r w:rsidR="00A271A2">
        <w:rPr>
          <w:rFonts w:cs="Arial"/>
        </w:rPr>
        <w:tab/>
      </w:r>
      <w:r w:rsidR="00A271A2">
        <w:rPr>
          <w:rFonts w:cs="Arial"/>
        </w:rPr>
        <w:tab/>
      </w:r>
      <w:r w:rsidR="00A271A2">
        <w:rPr>
          <w:rFonts w:cs="Arial"/>
        </w:rPr>
        <w:tab/>
      </w:r>
      <w:r w:rsidR="0034576C" w:rsidRPr="00D4465D">
        <w:rPr>
          <w:rFonts w:cs="Arial"/>
        </w:rPr>
        <w:t xml:space="preserve">  </w:t>
      </w:r>
      <w:r w:rsidR="00656DC5" w:rsidRPr="00D4465D">
        <w:rPr>
          <w:rFonts w:cs="Arial"/>
        </w:rPr>
        <w:t xml:space="preserve"> </w:t>
      </w:r>
      <w:r w:rsidR="00A271A2" w:rsidRPr="00D4465D">
        <w:rPr>
          <w:rFonts w:cs="Arial"/>
        </w:rPr>
        <w:t xml:space="preserve"> (1.100)</w:t>
      </w:r>
    </w:p>
    <w:p w:rsidR="00D4465D" w:rsidRPr="008C337C" w:rsidRDefault="00D4465D" w:rsidP="00AA3B74">
      <w:pPr>
        <w:pStyle w:val="ListParagraph"/>
        <w:numPr>
          <w:ilvl w:val="0"/>
          <w:numId w:val="59"/>
        </w:numPr>
        <w:ind w:right="306" w:hanging="11"/>
        <w:jc w:val="both"/>
        <w:rPr>
          <w:rFonts w:cs="Arial"/>
        </w:rPr>
      </w:pPr>
      <w:r>
        <w:rPr>
          <w:rFonts w:cs="Arial"/>
        </w:rPr>
        <w:t>One-off  Income</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(0.532)</w:t>
      </w:r>
    </w:p>
    <w:p w:rsidR="00D4465D" w:rsidRDefault="00D4465D" w:rsidP="00AA3B74">
      <w:pPr>
        <w:pStyle w:val="ListParagraph"/>
        <w:numPr>
          <w:ilvl w:val="0"/>
          <w:numId w:val="59"/>
        </w:numPr>
        <w:ind w:right="306" w:hanging="11"/>
        <w:jc w:val="both"/>
        <w:rPr>
          <w:rFonts w:cs="Arial"/>
        </w:rPr>
      </w:pPr>
      <w:r w:rsidRPr="008C337C">
        <w:rPr>
          <w:rFonts w:cs="Arial"/>
        </w:rPr>
        <w:t>Corporate underspend</w:t>
      </w:r>
      <w:r>
        <w:rPr>
          <w:rFonts w:cs="Arial"/>
        </w:rPr>
        <w:tab/>
      </w:r>
      <w:r>
        <w:rPr>
          <w:rFonts w:cs="Arial"/>
        </w:rPr>
        <w:tab/>
      </w:r>
      <w:r>
        <w:rPr>
          <w:rFonts w:cs="Arial"/>
        </w:rPr>
        <w:tab/>
      </w:r>
      <w:r>
        <w:rPr>
          <w:rFonts w:cs="Arial"/>
        </w:rPr>
        <w:tab/>
      </w:r>
      <w:r>
        <w:rPr>
          <w:rFonts w:cs="Arial"/>
        </w:rPr>
        <w:tab/>
      </w:r>
      <w:r>
        <w:rPr>
          <w:rFonts w:cs="Arial"/>
        </w:rPr>
        <w:tab/>
        <w:t xml:space="preserve">    (</w:t>
      </w:r>
      <w:r w:rsidR="00410AC8">
        <w:rPr>
          <w:rFonts w:cs="Arial"/>
          <w:u w:val="single"/>
        </w:rPr>
        <w:t>3.</w:t>
      </w:r>
      <w:r w:rsidR="00311CCD">
        <w:rPr>
          <w:rFonts w:cs="Arial"/>
          <w:u w:val="single"/>
        </w:rPr>
        <w:t>542</w:t>
      </w:r>
      <w:r>
        <w:rPr>
          <w:rFonts w:cs="Arial"/>
        </w:rPr>
        <w:t>)</w:t>
      </w:r>
    </w:p>
    <w:p w:rsidR="00D4465D" w:rsidRDefault="00D4465D" w:rsidP="008C337C">
      <w:pPr>
        <w:pStyle w:val="ListParagraph"/>
        <w:ind w:right="306"/>
        <w:jc w:val="both"/>
        <w:rPr>
          <w:rFonts w:cs="Arial"/>
          <w:u w:val="single"/>
        </w:rPr>
      </w:pPr>
      <w:r w:rsidRPr="008C337C">
        <w:rPr>
          <w:rFonts w:cs="Arial"/>
          <w:b/>
        </w:rPr>
        <w:t xml:space="preserve">           Net Underspend</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8C337C">
        <w:rPr>
          <w:rFonts w:cs="Arial"/>
          <w:b/>
          <w:u w:val="single"/>
        </w:rPr>
        <w:t>(2.200)*</w:t>
      </w:r>
    </w:p>
    <w:p w:rsidR="008604BE" w:rsidRDefault="008604BE" w:rsidP="008C337C">
      <w:pPr>
        <w:pStyle w:val="ListParagraph"/>
        <w:ind w:right="306"/>
        <w:jc w:val="both"/>
        <w:rPr>
          <w:rFonts w:cs="Arial"/>
          <w:u w:val="single"/>
        </w:rPr>
      </w:pPr>
    </w:p>
    <w:p w:rsidR="00D4465D" w:rsidRDefault="008604BE" w:rsidP="008C337C">
      <w:pPr>
        <w:pStyle w:val="ListParagraph"/>
        <w:ind w:right="306"/>
        <w:jc w:val="both"/>
        <w:rPr>
          <w:rFonts w:cs="Arial"/>
        </w:rPr>
      </w:pPr>
      <w:r w:rsidRPr="008C337C">
        <w:rPr>
          <w:rFonts w:cs="Arial"/>
          <w:i/>
          <w:sz w:val="20"/>
        </w:rPr>
        <w:t>* This £2.200m underspend will be used as a contribution to</w:t>
      </w:r>
      <w:r w:rsidR="00706829">
        <w:rPr>
          <w:rFonts w:cs="Arial"/>
          <w:i/>
          <w:sz w:val="20"/>
        </w:rPr>
        <w:t xml:space="preserve"> the</w:t>
      </w:r>
      <w:r w:rsidRPr="008C337C">
        <w:rPr>
          <w:rFonts w:cs="Arial"/>
          <w:i/>
          <w:sz w:val="20"/>
        </w:rPr>
        <w:t xml:space="preserve"> 2019/20 budget</w:t>
      </w:r>
    </w:p>
    <w:p w:rsidR="00E637E6" w:rsidRPr="00F71695" w:rsidRDefault="00D4465D" w:rsidP="008C337C">
      <w:pPr>
        <w:pStyle w:val="ListParagraph"/>
        <w:ind w:right="306"/>
        <w:jc w:val="both"/>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sidRPr="008C337C">
        <w:rPr>
          <w:rFonts w:cs="Arial"/>
        </w:rPr>
        <w:tab/>
      </w:r>
    </w:p>
    <w:p w:rsidR="00820C17" w:rsidRPr="004B029B" w:rsidRDefault="00820C17" w:rsidP="008C337C">
      <w:pPr>
        <w:pStyle w:val="ListParagraph"/>
        <w:numPr>
          <w:ilvl w:val="1"/>
          <w:numId w:val="150"/>
        </w:numPr>
        <w:spacing w:after="120"/>
        <w:ind w:left="567" w:hanging="567"/>
        <w:contextualSpacing w:val="0"/>
        <w:jc w:val="both"/>
      </w:pPr>
      <w:r w:rsidRPr="004B029B">
        <w:t>The capital programme is reporting a forecast spend of £</w:t>
      </w:r>
      <w:r w:rsidR="00C86579">
        <w:t>96.</w:t>
      </w:r>
      <w:r w:rsidR="00DE4C57">
        <w:t>3</w:t>
      </w:r>
      <w:r w:rsidR="004C5F4C">
        <w:t>90</w:t>
      </w:r>
      <w:r w:rsidRPr="004B029B">
        <w:t>m against a budget of £</w:t>
      </w:r>
      <w:r w:rsidR="004B029B" w:rsidRPr="008C337C">
        <w:t>215.333</w:t>
      </w:r>
      <w:r w:rsidRPr="004B029B">
        <w:t xml:space="preserve">m.  This represents a total forecast spend of </w:t>
      </w:r>
      <w:r w:rsidR="004B029B" w:rsidRPr="008C337C">
        <w:t>4</w:t>
      </w:r>
      <w:r w:rsidR="00C86579">
        <w:t>5</w:t>
      </w:r>
      <w:r w:rsidRPr="004B029B">
        <w:t>%</w:t>
      </w:r>
      <w:r w:rsidR="00D71545" w:rsidRPr="004B029B">
        <w:t>.</w:t>
      </w:r>
      <w:r w:rsidRPr="004B029B">
        <w:t xml:space="preserve"> In terms of general fund capital, there is a net forecast variance of £</w:t>
      </w:r>
      <w:r w:rsidR="00680A14">
        <w:t>1</w:t>
      </w:r>
      <w:r w:rsidR="00FF18EA">
        <w:t>0</w:t>
      </w:r>
      <w:r w:rsidR="004C5F4C">
        <w:t>7.</w:t>
      </w:r>
      <w:r w:rsidR="00DE4C57">
        <w:t>9</w:t>
      </w:r>
      <w:r w:rsidR="004C5F4C">
        <w:t>82</w:t>
      </w:r>
      <w:r w:rsidRPr="004B029B">
        <w:t xml:space="preserve">m of which </w:t>
      </w:r>
      <w:r w:rsidR="00680A14">
        <w:t>(</w:t>
      </w:r>
      <w:r w:rsidRPr="004B029B">
        <w:t>£</w:t>
      </w:r>
      <w:r w:rsidR="004C5F4C">
        <w:t>42.782</w:t>
      </w:r>
      <w:r w:rsidRPr="004B029B">
        <w:t>m</w:t>
      </w:r>
      <w:r w:rsidR="00680A14">
        <w:t>)</w:t>
      </w:r>
      <w:r w:rsidRPr="004B029B">
        <w:t xml:space="preserve"> is </w:t>
      </w:r>
      <w:r w:rsidR="00887AD8">
        <w:t xml:space="preserve">the </w:t>
      </w:r>
      <w:r w:rsidR="00887AD8" w:rsidRPr="004B029B">
        <w:t>slippage</w:t>
      </w:r>
      <w:r w:rsidR="0087791D" w:rsidRPr="004B029B">
        <w:t xml:space="preserve"> into 20</w:t>
      </w:r>
      <w:r w:rsidRPr="004B029B">
        <w:t>19</w:t>
      </w:r>
      <w:r w:rsidR="0087791D" w:rsidRPr="004B029B">
        <w:t xml:space="preserve">/20 and </w:t>
      </w:r>
      <w:r w:rsidR="00680A14">
        <w:t>(</w:t>
      </w:r>
      <w:r w:rsidR="0087791D" w:rsidRPr="004B029B">
        <w:t>£</w:t>
      </w:r>
      <w:r w:rsidR="004C5F4C">
        <w:t>65.</w:t>
      </w:r>
      <w:r w:rsidR="00DE4C57">
        <w:t>2</w:t>
      </w:r>
      <w:r w:rsidR="004C5F4C">
        <w:t>01</w:t>
      </w:r>
      <w:r w:rsidR="009274CD" w:rsidRPr="004B029B">
        <w:t>m</w:t>
      </w:r>
      <w:r w:rsidR="00680A14">
        <w:t>)</w:t>
      </w:r>
      <w:r w:rsidR="009274CD" w:rsidRPr="004B029B">
        <w:t xml:space="preserve"> can</w:t>
      </w:r>
      <w:r w:rsidR="0087791D" w:rsidRPr="004B029B">
        <w:t xml:space="preserve"> be re</w:t>
      </w:r>
      <w:r w:rsidRPr="004B029B">
        <w:t>moved from the Capital Programme. For the Housing Revenue Account, a variance of £1</w:t>
      </w:r>
      <w:r w:rsidR="004B029B" w:rsidRPr="008C337C">
        <w:t>0.959</w:t>
      </w:r>
      <w:r w:rsidRPr="004B029B">
        <w:t xml:space="preserve">m is forecast of which </w:t>
      </w:r>
      <w:r w:rsidR="00680A14">
        <w:t>(</w:t>
      </w:r>
      <w:r w:rsidRPr="004B029B">
        <w:t>£</w:t>
      </w:r>
      <w:r w:rsidR="004B029B" w:rsidRPr="008C337C">
        <w:t>6.965</w:t>
      </w:r>
      <w:r w:rsidRPr="004B029B">
        <w:t>m</w:t>
      </w:r>
      <w:r w:rsidR="00680A14">
        <w:t>)</w:t>
      </w:r>
      <w:r w:rsidRPr="004B029B">
        <w:t xml:space="preserve"> </w:t>
      </w:r>
      <w:r w:rsidR="006E5920">
        <w:t>is the s</w:t>
      </w:r>
      <w:r w:rsidR="0087791D" w:rsidRPr="004B029B">
        <w:t>lipp</w:t>
      </w:r>
      <w:r w:rsidR="006E5920">
        <w:t xml:space="preserve">age </w:t>
      </w:r>
      <w:r w:rsidR="0087791D" w:rsidRPr="004B029B">
        <w:t>into 20</w:t>
      </w:r>
      <w:r w:rsidRPr="004B029B">
        <w:t>19</w:t>
      </w:r>
      <w:r w:rsidR="0087791D" w:rsidRPr="004B029B">
        <w:t>/20</w:t>
      </w:r>
      <w:r w:rsidRPr="004B029B">
        <w:t xml:space="preserve"> and (</w:t>
      </w:r>
      <w:r w:rsidR="0087791D" w:rsidRPr="004B029B">
        <w:t>£</w:t>
      </w:r>
      <w:r w:rsidR="004B029B" w:rsidRPr="008C337C">
        <w:t>3</w:t>
      </w:r>
      <w:r w:rsidR="0087791D" w:rsidRPr="004B029B">
        <w:t>.</w:t>
      </w:r>
      <w:r w:rsidR="004B029B">
        <w:t>99</w:t>
      </w:r>
      <w:r w:rsidR="004B029B" w:rsidRPr="008C337C">
        <w:t>4</w:t>
      </w:r>
      <w:r w:rsidRPr="004B029B">
        <w:t xml:space="preserve">m) can be removed from the </w:t>
      </w:r>
      <w:r w:rsidR="00706829">
        <w:t>c</w:t>
      </w:r>
      <w:r w:rsidRPr="004B029B">
        <w:t xml:space="preserve">apital </w:t>
      </w:r>
      <w:r w:rsidR="00706829">
        <w:t>p</w:t>
      </w:r>
      <w:r w:rsidRPr="004B029B">
        <w:t>rogramme</w:t>
      </w:r>
      <w:r w:rsidR="00D71545" w:rsidRPr="004B029B">
        <w:t>.</w:t>
      </w:r>
    </w:p>
    <w:p w:rsidR="007B2F9A" w:rsidRPr="006F766E" w:rsidRDefault="007B2F9A" w:rsidP="008C337C">
      <w:pPr>
        <w:pStyle w:val="ListParagraph"/>
        <w:spacing w:after="240"/>
        <w:ind w:left="357"/>
        <w:jc w:val="right"/>
        <w:rPr>
          <w:color w:val="FF0000"/>
          <w:szCs w:val="24"/>
        </w:rPr>
      </w:pPr>
    </w:p>
    <w:p w:rsidR="00DD7468" w:rsidRPr="0094250E" w:rsidRDefault="00F92295" w:rsidP="00AA3B74">
      <w:pPr>
        <w:pStyle w:val="ListParagraph"/>
        <w:numPr>
          <w:ilvl w:val="0"/>
          <w:numId w:val="103"/>
        </w:numPr>
        <w:ind w:left="284" w:hanging="568"/>
        <w:jc w:val="both"/>
        <w:rPr>
          <w:b/>
          <w:szCs w:val="24"/>
          <w:u w:val="single"/>
        </w:rPr>
      </w:pPr>
      <w:r w:rsidRPr="0094250E">
        <w:rPr>
          <w:b/>
          <w:szCs w:val="24"/>
          <w:u w:val="single"/>
        </w:rPr>
        <w:t xml:space="preserve">REVENUE </w:t>
      </w:r>
      <w:r w:rsidR="00532FD5" w:rsidRPr="0094250E">
        <w:rPr>
          <w:b/>
          <w:szCs w:val="24"/>
          <w:u w:val="single"/>
        </w:rPr>
        <w:t>MONITORING</w:t>
      </w:r>
    </w:p>
    <w:p w:rsidR="00DD7468" w:rsidRDefault="00DD7468">
      <w:pPr>
        <w:jc w:val="both"/>
        <w:rPr>
          <w:b/>
          <w:szCs w:val="24"/>
        </w:rPr>
      </w:pPr>
    </w:p>
    <w:p w:rsidR="0092144D" w:rsidRPr="008C337C" w:rsidRDefault="00FD5643">
      <w:pPr>
        <w:pStyle w:val="ListParagraph"/>
        <w:numPr>
          <w:ilvl w:val="0"/>
          <w:numId w:val="103"/>
        </w:numPr>
        <w:ind w:left="567" w:hanging="567"/>
        <w:jc w:val="both"/>
        <w:rPr>
          <w:rFonts w:cs="Arial"/>
        </w:rPr>
      </w:pPr>
      <w:r w:rsidRPr="007C5203">
        <w:rPr>
          <w:rFonts w:cs="Arial"/>
          <w:bCs/>
        </w:rPr>
        <w:t>The revenue forecast position</w:t>
      </w:r>
      <w:r w:rsidR="000E3FBF">
        <w:rPr>
          <w:rFonts w:cs="Arial"/>
          <w:bCs/>
        </w:rPr>
        <w:t xml:space="preserve"> as</w:t>
      </w:r>
      <w:r w:rsidRPr="007C5203">
        <w:rPr>
          <w:rFonts w:cs="Arial"/>
          <w:bCs/>
        </w:rPr>
        <w:t xml:space="preserve"> at Quarter 2 (30</w:t>
      </w:r>
      <w:r w:rsidRPr="007C5203">
        <w:rPr>
          <w:rFonts w:cs="Arial"/>
          <w:bCs/>
          <w:vertAlign w:val="superscript"/>
        </w:rPr>
        <w:t>th</w:t>
      </w:r>
      <w:r w:rsidR="00D76D65" w:rsidRPr="007C5203">
        <w:rPr>
          <w:rFonts w:cs="Arial"/>
          <w:bCs/>
        </w:rPr>
        <w:t xml:space="preserve"> September 2018</w:t>
      </w:r>
      <w:r w:rsidRPr="007C5203">
        <w:rPr>
          <w:rFonts w:cs="Arial"/>
          <w:bCs/>
        </w:rPr>
        <w:t>) is showing an underspend position of (£2.200m)</w:t>
      </w:r>
      <w:r w:rsidR="0092144D" w:rsidRPr="008C337C">
        <w:rPr>
          <w:rFonts w:cs="Arial"/>
          <w:bCs/>
        </w:rPr>
        <w:t>, t</w:t>
      </w:r>
      <w:r w:rsidR="007140D3" w:rsidRPr="007C5203">
        <w:rPr>
          <w:rFonts w:cs="Arial"/>
          <w:bCs/>
        </w:rPr>
        <w:t>h</w:t>
      </w:r>
      <w:r w:rsidR="0092144D" w:rsidRPr="008C337C">
        <w:rPr>
          <w:rFonts w:cs="Arial"/>
          <w:bCs/>
        </w:rPr>
        <w:t>is is an improvement of (£3.653m) when compared to the</w:t>
      </w:r>
      <w:r w:rsidR="007140D3" w:rsidRPr="007C5203">
        <w:rPr>
          <w:rFonts w:cs="Arial"/>
          <w:bCs/>
        </w:rPr>
        <w:t xml:space="preserve"> £1.453m overspend reported in </w:t>
      </w:r>
      <w:r w:rsidR="00DE4079" w:rsidRPr="007C5203">
        <w:rPr>
          <w:rFonts w:cs="Arial"/>
          <w:bCs/>
        </w:rPr>
        <w:t>Q</w:t>
      </w:r>
      <w:r w:rsidR="007140D3" w:rsidRPr="007C5203">
        <w:rPr>
          <w:rFonts w:cs="Arial"/>
          <w:bCs/>
        </w:rPr>
        <w:t>uarter 1. Of the (£3.</w:t>
      </w:r>
      <w:r w:rsidR="00311CCD">
        <w:rPr>
          <w:rFonts w:cs="Arial"/>
          <w:bCs/>
        </w:rPr>
        <w:t>5</w:t>
      </w:r>
      <w:r w:rsidR="007140D3" w:rsidRPr="007C5203">
        <w:rPr>
          <w:rFonts w:cs="Arial"/>
          <w:bCs/>
        </w:rPr>
        <w:t xml:space="preserve">42m) Corporate underspend, (£2.200m) is a planned underspend </w:t>
      </w:r>
      <w:r w:rsidR="0092144D" w:rsidRPr="008C337C">
        <w:rPr>
          <w:rFonts w:cs="Arial"/>
          <w:bCs/>
        </w:rPr>
        <w:t xml:space="preserve">and </w:t>
      </w:r>
      <w:r w:rsidR="007140D3" w:rsidRPr="007C5203">
        <w:rPr>
          <w:rFonts w:cs="Arial"/>
          <w:bCs/>
        </w:rPr>
        <w:t>wil</w:t>
      </w:r>
      <w:r w:rsidR="00F37DA4" w:rsidRPr="008C337C">
        <w:rPr>
          <w:rFonts w:cs="Arial"/>
          <w:bCs/>
        </w:rPr>
        <w:t xml:space="preserve">l be carried </w:t>
      </w:r>
      <w:r w:rsidR="002D1D95" w:rsidRPr="008C337C">
        <w:rPr>
          <w:rFonts w:cs="Arial"/>
          <w:bCs/>
        </w:rPr>
        <w:t>forward to</w:t>
      </w:r>
      <w:r w:rsidR="007140D3" w:rsidRPr="007C5203">
        <w:rPr>
          <w:rFonts w:cs="Arial"/>
          <w:bCs/>
        </w:rPr>
        <w:t xml:space="preserve"> contribute to the 2019/20 budget gap.</w:t>
      </w:r>
      <w:r w:rsidR="0092144D" w:rsidRPr="008C337C">
        <w:rPr>
          <w:rFonts w:cs="Arial"/>
          <w:bCs/>
        </w:rPr>
        <w:t xml:space="preserve">                                    </w:t>
      </w:r>
    </w:p>
    <w:p w:rsidR="0092144D" w:rsidRPr="000E3FBF" w:rsidRDefault="0092144D" w:rsidP="008C337C">
      <w:pPr>
        <w:pStyle w:val="ListParagraph"/>
        <w:rPr>
          <w:rFonts w:cs="Arial"/>
          <w:bCs/>
          <w:highlight w:val="yellow"/>
        </w:rPr>
      </w:pPr>
    </w:p>
    <w:p w:rsidR="00AC0236" w:rsidRPr="0092144D" w:rsidRDefault="007140D3">
      <w:pPr>
        <w:pStyle w:val="ListParagraph"/>
        <w:numPr>
          <w:ilvl w:val="0"/>
          <w:numId w:val="103"/>
        </w:numPr>
        <w:ind w:left="567" w:hanging="567"/>
        <w:jc w:val="both"/>
        <w:rPr>
          <w:rFonts w:cs="Arial"/>
        </w:rPr>
      </w:pPr>
      <w:r w:rsidRPr="0092144D">
        <w:rPr>
          <w:rFonts w:cs="Arial"/>
          <w:bCs/>
        </w:rPr>
        <w:t xml:space="preserve"> </w:t>
      </w:r>
      <w:r w:rsidR="00FD5643" w:rsidRPr="0092144D">
        <w:rPr>
          <w:rFonts w:cs="Arial"/>
          <w:bCs/>
        </w:rPr>
        <w:t>The forecast by division is detailed in Appendix 1.</w:t>
      </w:r>
    </w:p>
    <w:p w:rsidR="00AC0236" w:rsidRPr="0092144D" w:rsidRDefault="00AC0236" w:rsidP="008C337C">
      <w:pPr>
        <w:pStyle w:val="ListParagraph"/>
        <w:rPr>
          <w:rFonts w:cs="Arial"/>
          <w:bCs/>
        </w:rPr>
      </w:pPr>
    </w:p>
    <w:p w:rsidR="00532FD5" w:rsidRPr="0092144D" w:rsidRDefault="00532FD5" w:rsidP="00AA3B74">
      <w:pPr>
        <w:pStyle w:val="ListParagraph"/>
        <w:numPr>
          <w:ilvl w:val="0"/>
          <w:numId w:val="103"/>
        </w:numPr>
        <w:ind w:left="567" w:hanging="567"/>
        <w:jc w:val="both"/>
        <w:rPr>
          <w:rFonts w:cs="Arial"/>
        </w:rPr>
      </w:pPr>
      <w:r w:rsidRPr="0092144D">
        <w:rPr>
          <w:rFonts w:cs="Arial"/>
        </w:rPr>
        <w:t>Table 1 below set</w:t>
      </w:r>
      <w:r w:rsidR="00454B6E" w:rsidRPr="0092144D">
        <w:rPr>
          <w:rFonts w:cs="Arial"/>
        </w:rPr>
        <w:t>s</w:t>
      </w:r>
      <w:r w:rsidRPr="0092144D">
        <w:rPr>
          <w:rFonts w:cs="Arial"/>
        </w:rPr>
        <w:t xml:space="preserve"> out</w:t>
      </w:r>
      <w:r w:rsidR="00454B6E" w:rsidRPr="0092144D">
        <w:rPr>
          <w:rFonts w:cs="Arial"/>
        </w:rPr>
        <w:t xml:space="preserve"> the</w:t>
      </w:r>
      <w:r w:rsidRPr="0092144D">
        <w:rPr>
          <w:rFonts w:cs="Arial"/>
        </w:rPr>
        <w:t xml:space="preserve"> summary of the </w:t>
      </w:r>
      <w:r w:rsidR="00B46A46" w:rsidRPr="0092144D">
        <w:rPr>
          <w:rFonts w:cs="Arial"/>
        </w:rPr>
        <w:t>Quarter</w:t>
      </w:r>
      <w:r w:rsidRPr="0092144D">
        <w:rPr>
          <w:rFonts w:cs="Arial"/>
        </w:rPr>
        <w:t xml:space="preserve"> </w:t>
      </w:r>
      <w:r w:rsidR="00D37115" w:rsidRPr="0092144D">
        <w:rPr>
          <w:rFonts w:cs="Arial"/>
        </w:rPr>
        <w:t>2</w:t>
      </w:r>
      <w:r w:rsidRPr="0092144D">
        <w:rPr>
          <w:rFonts w:cs="Arial"/>
        </w:rPr>
        <w:t xml:space="preserve"> monitoring position:</w:t>
      </w:r>
    </w:p>
    <w:p w:rsidR="00E84016" w:rsidRPr="00646DA7" w:rsidRDefault="00E84016" w:rsidP="0094250E">
      <w:pPr>
        <w:pStyle w:val="ListParagraph"/>
        <w:rPr>
          <w:rFonts w:cs="Arial"/>
        </w:rPr>
      </w:pPr>
    </w:p>
    <w:p w:rsidR="00FD5643" w:rsidRDefault="00F71695" w:rsidP="008C337C">
      <w:r>
        <w:rPr>
          <w:rFonts w:cs="Arial"/>
          <w:b/>
        </w:rPr>
        <w:t xml:space="preserve">  </w:t>
      </w:r>
      <w:r w:rsidR="00B46A46" w:rsidRPr="00B46A46">
        <w:rPr>
          <w:b/>
          <w:u w:val="single"/>
        </w:rPr>
        <w:t xml:space="preserve">Table </w:t>
      </w:r>
      <w:r w:rsidR="00B46A46">
        <w:rPr>
          <w:b/>
          <w:u w:val="single"/>
        </w:rPr>
        <w:t>1</w:t>
      </w:r>
      <w:r w:rsidR="00B46A46" w:rsidRPr="00B46A46">
        <w:rPr>
          <w:b/>
          <w:u w:val="single"/>
        </w:rPr>
        <w:t>: R</w:t>
      </w:r>
      <w:r w:rsidR="00B46A46">
        <w:rPr>
          <w:b/>
          <w:u w:val="single"/>
        </w:rPr>
        <w:t>evenue monitoring –</w:t>
      </w:r>
      <w:r w:rsidR="00F37DA4">
        <w:rPr>
          <w:b/>
          <w:u w:val="single"/>
        </w:rPr>
        <w:t xml:space="preserve"> </w:t>
      </w:r>
      <w:r w:rsidR="007176F9">
        <w:rPr>
          <w:b/>
          <w:u w:val="single"/>
        </w:rPr>
        <w:t xml:space="preserve">as at </w:t>
      </w:r>
      <w:r w:rsidR="00F37DA4">
        <w:rPr>
          <w:b/>
          <w:u w:val="single"/>
        </w:rPr>
        <w:t>Quarter 2</w:t>
      </w:r>
      <w:r w:rsidR="00B46A46">
        <w:rPr>
          <w:b/>
          <w:u w:val="single"/>
        </w:rPr>
        <w:t xml:space="preserve"> </w:t>
      </w:r>
      <w:r w:rsidR="007176F9">
        <w:rPr>
          <w:b/>
          <w:u w:val="single"/>
        </w:rPr>
        <w:t>(</w:t>
      </w:r>
      <w:r w:rsidR="00B46A46">
        <w:rPr>
          <w:b/>
          <w:u w:val="single"/>
        </w:rPr>
        <w:t>30</w:t>
      </w:r>
      <w:r w:rsidR="00B46A46" w:rsidRPr="00BC03D5">
        <w:rPr>
          <w:b/>
          <w:u w:val="single"/>
          <w:vertAlign w:val="superscript"/>
        </w:rPr>
        <w:t>th</w:t>
      </w:r>
      <w:r w:rsidR="00B46A46">
        <w:rPr>
          <w:b/>
          <w:u w:val="single"/>
        </w:rPr>
        <w:t xml:space="preserve"> </w:t>
      </w:r>
      <w:r w:rsidR="00410AC8">
        <w:rPr>
          <w:b/>
          <w:u w:val="single"/>
        </w:rPr>
        <w:t>September 2018</w:t>
      </w:r>
      <w:r w:rsidR="000E3FBF">
        <w:rPr>
          <w:b/>
          <w:u w:val="single"/>
        </w:rPr>
        <w:t>)</w:t>
      </w:r>
      <w:r w:rsidR="00A271A2" w:rsidRPr="00A271A2" w:rsidDel="008B1786">
        <w:t xml:space="preserve"> </w:t>
      </w:r>
    </w:p>
    <w:p w:rsidR="00311CCD" w:rsidRDefault="00311CCD" w:rsidP="008C337C">
      <w:r w:rsidRPr="00311CCD">
        <w:rPr>
          <w:noProof/>
          <w:lang w:eastAsia="en-GB"/>
        </w:rPr>
        <w:drawing>
          <wp:inline distT="0" distB="0" distL="0" distR="0" wp14:anchorId="3F05DDD3" wp14:editId="5F1BADA2">
            <wp:extent cx="6122035" cy="4829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4829015"/>
                    </a:xfrm>
                    <a:prstGeom prst="rect">
                      <a:avLst/>
                    </a:prstGeom>
                    <a:noFill/>
                    <a:ln>
                      <a:noFill/>
                    </a:ln>
                  </pic:spPr>
                </pic:pic>
              </a:graphicData>
            </a:graphic>
          </wp:inline>
        </w:drawing>
      </w:r>
    </w:p>
    <w:p w:rsidR="00311CCD" w:rsidRDefault="00311CCD" w:rsidP="008C337C">
      <w:pPr>
        <w:rPr>
          <w:rFonts w:cs="Arial"/>
          <w:b/>
          <w:u w:val="single"/>
        </w:rPr>
      </w:pPr>
    </w:p>
    <w:p w:rsidR="00311CCD" w:rsidRDefault="00311CCD" w:rsidP="008C337C">
      <w:pPr>
        <w:rPr>
          <w:rFonts w:cs="Arial"/>
          <w:b/>
          <w:u w:val="single"/>
        </w:rPr>
      </w:pPr>
    </w:p>
    <w:p w:rsidR="00311CCD" w:rsidRDefault="00311CCD" w:rsidP="008C337C">
      <w:pPr>
        <w:rPr>
          <w:rFonts w:cs="Arial"/>
          <w:b/>
          <w:u w:val="single"/>
        </w:rPr>
      </w:pPr>
    </w:p>
    <w:p w:rsidR="004D3EA8" w:rsidRDefault="004D3EA8" w:rsidP="0094250E">
      <w:pPr>
        <w:pStyle w:val="ListParagraph"/>
        <w:ind w:left="0"/>
        <w:rPr>
          <w:rFonts w:cs="Arial"/>
          <w:b/>
          <w:u w:val="single"/>
        </w:rPr>
      </w:pPr>
    </w:p>
    <w:p w:rsidR="00E84016" w:rsidRPr="00E84016" w:rsidRDefault="00E84016" w:rsidP="0094250E">
      <w:pPr>
        <w:pStyle w:val="ListParagraph"/>
        <w:ind w:left="0"/>
        <w:rPr>
          <w:rFonts w:cs="Arial"/>
          <w:b/>
          <w:u w:val="single"/>
        </w:rPr>
      </w:pPr>
      <w:r w:rsidRPr="00E84016">
        <w:rPr>
          <w:rFonts w:cs="Arial"/>
          <w:b/>
          <w:u w:val="single"/>
        </w:rPr>
        <w:t xml:space="preserve">Resources and Commercial </w:t>
      </w:r>
    </w:p>
    <w:p w:rsidR="00E84016" w:rsidRPr="00646DA7" w:rsidRDefault="00E84016" w:rsidP="0094250E">
      <w:pPr>
        <w:pStyle w:val="ListParagraph"/>
        <w:rPr>
          <w:rFonts w:cs="Arial"/>
        </w:rPr>
      </w:pPr>
    </w:p>
    <w:p w:rsidR="00DE4079" w:rsidRDefault="007140D3" w:rsidP="008C337C">
      <w:pPr>
        <w:ind w:left="567" w:hanging="567"/>
        <w:rPr>
          <w:rFonts w:cs="Arial"/>
          <w:bCs/>
        </w:rPr>
      </w:pPr>
      <w:r>
        <w:rPr>
          <w:rFonts w:cs="Arial"/>
          <w:bCs/>
        </w:rPr>
        <w:t>2.3</w:t>
      </w:r>
      <w:r>
        <w:rPr>
          <w:rFonts w:cs="Arial"/>
          <w:bCs/>
        </w:rPr>
        <w:tab/>
      </w:r>
      <w:r w:rsidR="0035625F" w:rsidRPr="003D5622">
        <w:rPr>
          <w:rFonts w:cs="Arial"/>
          <w:bCs/>
        </w:rPr>
        <w:t xml:space="preserve">At </w:t>
      </w:r>
      <w:r w:rsidR="00B46A46" w:rsidRPr="00C523F9">
        <w:rPr>
          <w:rFonts w:cs="Arial"/>
          <w:bCs/>
        </w:rPr>
        <w:t xml:space="preserve">Quarter </w:t>
      </w:r>
      <w:r w:rsidR="00D37115" w:rsidRPr="000E3FBF">
        <w:rPr>
          <w:rFonts w:cs="Arial"/>
          <w:bCs/>
        </w:rPr>
        <w:t>2</w:t>
      </w:r>
      <w:r w:rsidR="00E84016" w:rsidRPr="00663391">
        <w:rPr>
          <w:rFonts w:cs="Arial"/>
          <w:bCs/>
        </w:rPr>
        <w:t xml:space="preserve">, the Resources and Commercial Directorate is forecasting </w:t>
      </w:r>
      <w:r w:rsidR="00B46A46" w:rsidRPr="009C2951">
        <w:rPr>
          <w:rFonts w:cs="Arial"/>
          <w:bCs/>
        </w:rPr>
        <w:t xml:space="preserve">to underspend by </w:t>
      </w:r>
      <w:r w:rsidR="00B46A46" w:rsidRPr="008C337C">
        <w:rPr>
          <w:rFonts w:cs="Arial"/>
          <w:b/>
          <w:bCs/>
        </w:rPr>
        <w:t>(</w:t>
      </w:r>
      <w:r w:rsidR="00F37DA4">
        <w:rPr>
          <w:rFonts w:cs="Arial"/>
          <w:b/>
          <w:bCs/>
        </w:rPr>
        <w:t>£</w:t>
      </w:r>
      <w:r w:rsidR="00B46A46" w:rsidRPr="008C337C">
        <w:rPr>
          <w:rFonts w:cs="Arial"/>
          <w:b/>
          <w:bCs/>
        </w:rPr>
        <w:t>0.</w:t>
      </w:r>
      <w:r w:rsidR="00BD5E35" w:rsidRPr="003D5622">
        <w:rPr>
          <w:rFonts w:cs="Arial"/>
          <w:b/>
          <w:bCs/>
        </w:rPr>
        <w:t>618</w:t>
      </w:r>
      <w:r w:rsidR="00B46A46" w:rsidRPr="008C337C">
        <w:rPr>
          <w:rFonts w:cs="Arial"/>
          <w:b/>
          <w:bCs/>
        </w:rPr>
        <w:t>m)</w:t>
      </w:r>
      <w:r w:rsidR="00B46A46" w:rsidRPr="003D5622">
        <w:rPr>
          <w:rFonts w:cs="Arial"/>
          <w:bCs/>
        </w:rPr>
        <w:t xml:space="preserve">, an </w:t>
      </w:r>
      <w:r w:rsidR="00D37115" w:rsidRPr="00C15319">
        <w:rPr>
          <w:rFonts w:cs="Arial"/>
          <w:bCs/>
        </w:rPr>
        <w:t xml:space="preserve">improvement of </w:t>
      </w:r>
      <w:r w:rsidR="00D37115" w:rsidRPr="00F37DA4">
        <w:rPr>
          <w:rFonts w:cs="Arial"/>
          <w:bCs/>
        </w:rPr>
        <w:t>(£</w:t>
      </w:r>
      <w:r w:rsidR="00656DC5" w:rsidRPr="00F37DA4">
        <w:rPr>
          <w:rFonts w:cs="Arial"/>
          <w:bCs/>
        </w:rPr>
        <w:t>0.3</w:t>
      </w:r>
      <w:r w:rsidR="00BD5E35" w:rsidRPr="008C337C">
        <w:rPr>
          <w:rFonts w:cs="Arial"/>
          <w:bCs/>
        </w:rPr>
        <w:t>8</w:t>
      </w:r>
      <w:r w:rsidR="000830CB" w:rsidRPr="008C337C">
        <w:rPr>
          <w:rFonts w:cs="Arial"/>
          <w:bCs/>
        </w:rPr>
        <w:t>3</w:t>
      </w:r>
      <w:r w:rsidR="00656DC5" w:rsidRPr="00F37DA4">
        <w:rPr>
          <w:rFonts w:cs="Arial"/>
          <w:bCs/>
        </w:rPr>
        <w:t>m)</w:t>
      </w:r>
      <w:r w:rsidR="00656DC5" w:rsidRPr="003D5622">
        <w:rPr>
          <w:rFonts w:cs="Arial"/>
          <w:bCs/>
        </w:rPr>
        <w:t xml:space="preserve"> when compare</w:t>
      </w:r>
      <w:r w:rsidR="007176F9">
        <w:rPr>
          <w:rFonts w:cs="Arial"/>
          <w:bCs/>
        </w:rPr>
        <w:t>d</w:t>
      </w:r>
      <w:r w:rsidR="00656DC5" w:rsidRPr="003D5622">
        <w:rPr>
          <w:rFonts w:cs="Arial"/>
          <w:bCs/>
        </w:rPr>
        <w:t xml:space="preserve"> to </w:t>
      </w:r>
      <w:r w:rsidR="00656DC5" w:rsidRPr="00C523F9">
        <w:rPr>
          <w:rFonts w:cs="Arial"/>
          <w:bCs/>
        </w:rPr>
        <w:t>(</w:t>
      </w:r>
      <w:r w:rsidR="00656DC5" w:rsidRPr="00C15319">
        <w:rPr>
          <w:rFonts w:cs="Arial"/>
          <w:bCs/>
        </w:rPr>
        <w:t>£0.235m)</w:t>
      </w:r>
      <w:r w:rsidR="00656DC5" w:rsidRPr="000E3FBF">
        <w:rPr>
          <w:rFonts w:cs="Arial"/>
          <w:bCs/>
        </w:rPr>
        <w:t xml:space="preserve"> </w:t>
      </w:r>
      <w:r w:rsidR="00ED11BB" w:rsidRPr="00663391">
        <w:rPr>
          <w:rFonts w:cs="Arial"/>
          <w:bCs/>
        </w:rPr>
        <w:t xml:space="preserve">underspend </w:t>
      </w:r>
      <w:r w:rsidR="00656DC5" w:rsidRPr="009C2951">
        <w:rPr>
          <w:rFonts w:cs="Arial"/>
          <w:bCs/>
        </w:rPr>
        <w:t xml:space="preserve">reported in </w:t>
      </w:r>
      <w:r w:rsidR="00DE4079">
        <w:rPr>
          <w:rFonts w:cs="Arial"/>
          <w:bCs/>
        </w:rPr>
        <w:t>Q</w:t>
      </w:r>
      <w:r w:rsidR="00656DC5" w:rsidRPr="003D5622">
        <w:rPr>
          <w:rFonts w:cs="Arial"/>
          <w:bCs/>
        </w:rPr>
        <w:t xml:space="preserve">uarter 1. </w:t>
      </w:r>
    </w:p>
    <w:p w:rsidR="00974E77" w:rsidRDefault="00974E77" w:rsidP="008C337C">
      <w:pPr>
        <w:ind w:left="567" w:hanging="567"/>
        <w:rPr>
          <w:b/>
          <w:u w:val="single"/>
        </w:rPr>
      </w:pPr>
    </w:p>
    <w:p w:rsidR="00F82BDE" w:rsidRPr="00F82BDE" w:rsidRDefault="00F82BDE" w:rsidP="00F82BDE">
      <w:pPr>
        <w:pStyle w:val="ListParagraph"/>
        <w:ind w:left="567"/>
        <w:jc w:val="both"/>
        <w:rPr>
          <w:rFonts w:cs="Arial"/>
          <w:b/>
          <w:u w:val="single"/>
        </w:rPr>
      </w:pPr>
      <w:r w:rsidRPr="00F82BDE">
        <w:rPr>
          <w:rFonts w:cs="Arial"/>
          <w:b/>
          <w:u w:val="single"/>
        </w:rPr>
        <w:t xml:space="preserve">Table 2: Resources Directorate </w:t>
      </w:r>
      <w:r w:rsidR="00EF6129">
        <w:rPr>
          <w:rFonts w:cs="Arial"/>
          <w:b/>
          <w:u w:val="single"/>
        </w:rPr>
        <w:t>V</w:t>
      </w:r>
      <w:r w:rsidRPr="00F82BDE">
        <w:rPr>
          <w:rFonts w:cs="Arial"/>
          <w:b/>
          <w:u w:val="single"/>
        </w:rPr>
        <w:t>ariance</w:t>
      </w:r>
    </w:p>
    <w:tbl>
      <w:tblPr>
        <w:tblStyle w:val="TableGrid"/>
        <w:tblW w:w="0" w:type="auto"/>
        <w:tblInd w:w="720" w:type="dxa"/>
        <w:tblLook w:val="04A0" w:firstRow="1" w:lastRow="0" w:firstColumn="1" w:lastColumn="0" w:noHBand="0" w:noVBand="1"/>
      </w:tblPr>
      <w:tblGrid>
        <w:gridCol w:w="1560"/>
        <w:gridCol w:w="1451"/>
        <w:gridCol w:w="1906"/>
      </w:tblGrid>
      <w:tr w:rsidR="00E534B8" w:rsidRPr="00F82BDE" w:rsidTr="00BC03D5">
        <w:trPr>
          <w:trHeight w:val="629"/>
        </w:trPr>
        <w:tc>
          <w:tcPr>
            <w:tcW w:w="1560" w:type="dxa"/>
          </w:tcPr>
          <w:p w:rsidR="007176F9" w:rsidRDefault="007176F9" w:rsidP="00BC03D5">
            <w:pPr>
              <w:jc w:val="center"/>
              <w:rPr>
                <w:rFonts w:cs="Arial"/>
              </w:rPr>
            </w:pPr>
          </w:p>
          <w:p w:rsidR="00E534B8" w:rsidRDefault="00E534B8" w:rsidP="00BC03D5">
            <w:pPr>
              <w:jc w:val="center"/>
              <w:rPr>
                <w:rFonts w:cs="Arial"/>
              </w:rPr>
            </w:pPr>
            <w:r w:rsidRPr="00EB34DC">
              <w:rPr>
                <w:rFonts w:cs="Arial"/>
              </w:rPr>
              <w:t xml:space="preserve">Quarter </w:t>
            </w:r>
            <w:r w:rsidR="00D37115">
              <w:rPr>
                <w:rFonts w:cs="Arial"/>
              </w:rPr>
              <w:t>2</w:t>
            </w:r>
          </w:p>
          <w:p w:rsidR="00E534B8" w:rsidRPr="00EB34DC" w:rsidRDefault="00E534B8" w:rsidP="00BC03D5">
            <w:pPr>
              <w:jc w:val="center"/>
              <w:rPr>
                <w:rFonts w:cs="Arial"/>
              </w:rPr>
            </w:pPr>
            <w:r>
              <w:rPr>
                <w:rFonts w:cs="Arial"/>
              </w:rPr>
              <w:t>Variance</w:t>
            </w:r>
          </w:p>
          <w:p w:rsidR="00E534B8" w:rsidRPr="00CB2C51" w:rsidRDefault="00E534B8" w:rsidP="00BC03D5">
            <w:pPr>
              <w:jc w:val="center"/>
              <w:rPr>
                <w:rFonts w:cs="Arial"/>
              </w:rPr>
            </w:pPr>
            <w:r w:rsidRPr="0019235D">
              <w:rPr>
                <w:rFonts w:cs="Arial"/>
              </w:rPr>
              <w:t>£’000</w:t>
            </w:r>
          </w:p>
        </w:tc>
        <w:tc>
          <w:tcPr>
            <w:tcW w:w="1451" w:type="dxa"/>
          </w:tcPr>
          <w:p w:rsidR="007176F9" w:rsidRDefault="007176F9" w:rsidP="00BC03D5">
            <w:pPr>
              <w:jc w:val="center"/>
              <w:rPr>
                <w:rFonts w:cs="Arial"/>
              </w:rPr>
            </w:pPr>
          </w:p>
          <w:p w:rsidR="00E534B8" w:rsidRDefault="00D37115" w:rsidP="00BC03D5">
            <w:pPr>
              <w:jc w:val="center"/>
              <w:rPr>
                <w:rFonts w:cs="Arial"/>
              </w:rPr>
            </w:pPr>
            <w:r>
              <w:rPr>
                <w:rFonts w:cs="Arial"/>
              </w:rPr>
              <w:t>Quarter 1</w:t>
            </w:r>
          </w:p>
          <w:p w:rsidR="00E534B8" w:rsidRPr="00EB34DC" w:rsidRDefault="00E534B8" w:rsidP="00BC03D5">
            <w:pPr>
              <w:jc w:val="center"/>
              <w:rPr>
                <w:rFonts w:cs="Arial"/>
              </w:rPr>
            </w:pPr>
            <w:r>
              <w:rPr>
                <w:rFonts w:cs="Arial"/>
              </w:rPr>
              <w:t>Variance</w:t>
            </w:r>
          </w:p>
          <w:p w:rsidR="00E534B8" w:rsidRPr="00CB2C51" w:rsidRDefault="00E534B8" w:rsidP="00BC03D5">
            <w:pPr>
              <w:jc w:val="center"/>
              <w:rPr>
                <w:rFonts w:cs="Arial"/>
              </w:rPr>
            </w:pPr>
            <w:r w:rsidRPr="0019235D">
              <w:rPr>
                <w:rFonts w:cs="Arial"/>
              </w:rPr>
              <w:t>£’000</w:t>
            </w:r>
          </w:p>
        </w:tc>
        <w:tc>
          <w:tcPr>
            <w:tcW w:w="1906" w:type="dxa"/>
          </w:tcPr>
          <w:p w:rsidR="00E534B8" w:rsidRDefault="00E534B8" w:rsidP="00BC03D5">
            <w:pPr>
              <w:jc w:val="center"/>
              <w:rPr>
                <w:rFonts w:cs="Arial"/>
              </w:rPr>
            </w:pPr>
            <w:r w:rsidRPr="00E534B8">
              <w:rPr>
                <w:rFonts w:cs="Arial"/>
              </w:rPr>
              <w:t xml:space="preserve">Movement between Quarter </w:t>
            </w:r>
            <w:r w:rsidR="001F7015">
              <w:rPr>
                <w:rFonts w:cs="Arial"/>
              </w:rPr>
              <w:t>1</w:t>
            </w:r>
            <w:r w:rsidRPr="00E534B8">
              <w:rPr>
                <w:rFonts w:cs="Arial"/>
              </w:rPr>
              <w:t xml:space="preserve"> and </w:t>
            </w:r>
            <w:r w:rsidR="00706829">
              <w:rPr>
                <w:rFonts w:cs="Arial"/>
              </w:rPr>
              <w:t>Quarter</w:t>
            </w:r>
            <w:r w:rsidRPr="00E534B8">
              <w:rPr>
                <w:rFonts w:cs="Arial"/>
              </w:rPr>
              <w:t xml:space="preserve"> </w:t>
            </w:r>
            <w:r w:rsidR="001F7015">
              <w:rPr>
                <w:rFonts w:cs="Arial"/>
              </w:rPr>
              <w:t>2</w:t>
            </w:r>
            <w:r>
              <w:rPr>
                <w:rFonts w:cs="Arial"/>
              </w:rPr>
              <w:t xml:space="preserve"> Variance</w:t>
            </w:r>
          </w:p>
          <w:p w:rsidR="00E534B8" w:rsidRPr="00EB34DC" w:rsidRDefault="00E534B8" w:rsidP="00BC03D5">
            <w:pPr>
              <w:jc w:val="center"/>
              <w:rPr>
                <w:rFonts w:cs="Arial"/>
              </w:rPr>
            </w:pPr>
            <w:r>
              <w:rPr>
                <w:rFonts w:cs="Arial"/>
              </w:rPr>
              <w:t>£’000</w:t>
            </w:r>
          </w:p>
        </w:tc>
      </w:tr>
      <w:tr w:rsidR="00E534B8" w:rsidRPr="00F82BDE" w:rsidTr="00BC03D5">
        <w:tc>
          <w:tcPr>
            <w:tcW w:w="1560" w:type="dxa"/>
          </w:tcPr>
          <w:p w:rsidR="00E534B8" w:rsidRPr="00D37115" w:rsidRDefault="00656DC5" w:rsidP="008C337C">
            <w:pPr>
              <w:jc w:val="both"/>
              <w:rPr>
                <w:rFonts w:cs="Arial"/>
              </w:rPr>
            </w:pPr>
            <w:r>
              <w:rPr>
                <w:rFonts w:cs="Arial"/>
              </w:rPr>
              <w:t xml:space="preserve">       (</w:t>
            </w:r>
            <w:r w:rsidR="000E603F">
              <w:rPr>
                <w:rFonts w:cs="Arial"/>
              </w:rPr>
              <w:t>618</w:t>
            </w:r>
            <w:r w:rsidR="00D37115">
              <w:rPr>
                <w:rFonts w:cs="Arial"/>
              </w:rPr>
              <w:t>)</w:t>
            </w:r>
          </w:p>
        </w:tc>
        <w:tc>
          <w:tcPr>
            <w:tcW w:w="1451" w:type="dxa"/>
          </w:tcPr>
          <w:p w:rsidR="00E534B8" w:rsidRPr="00F82BDE" w:rsidRDefault="00E534B8">
            <w:pPr>
              <w:pStyle w:val="ListParagraph"/>
              <w:ind w:left="567"/>
              <w:jc w:val="both"/>
              <w:rPr>
                <w:rFonts w:cs="Arial"/>
              </w:rPr>
            </w:pPr>
            <w:r w:rsidRPr="00F82BDE">
              <w:rPr>
                <w:rFonts w:cs="Arial"/>
              </w:rPr>
              <w:t xml:space="preserve"> (</w:t>
            </w:r>
            <w:r w:rsidR="00656DC5">
              <w:rPr>
                <w:rFonts w:cs="Arial"/>
              </w:rPr>
              <w:t>235</w:t>
            </w:r>
            <w:r w:rsidRPr="00F82BDE">
              <w:rPr>
                <w:rFonts w:cs="Arial"/>
              </w:rPr>
              <w:t>)</w:t>
            </w:r>
          </w:p>
        </w:tc>
        <w:tc>
          <w:tcPr>
            <w:tcW w:w="1906" w:type="dxa"/>
          </w:tcPr>
          <w:p w:rsidR="00E534B8" w:rsidRPr="00F82BDE" w:rsidRDefault="00E534B8">
            <w:pPr>
              <w:pStyle w:val="ListParagraph"/>
              <w:ind w:left="567"/>
              <w:jc w:val="both"/>
              <w:rPr>
                <w:rFonts w:cs="Arial"/>
              </w:rPr>
            </w:pPr>
            <w:r w:rsidRPr="00F82BDE">
              <w:rPr>
                <w:rFonts w:cs="Arial"/>
              </w:rPr>
              <w:t xml:space="preserve">    </w:t>
            </w:r>
            <w:r w:rsidR="00D45C65">
              <w:rPr>
                <w:rFonts w:cs="Arial"/>
              </w:rPr>
              <w:t>(</w:t>
            </w:r>
            <w:r w:rsidR="00656DC5">
              <w:rPr>
                <w:rFonts w:cs="Arial"/>
              </w:rPr>
              <w:t>3</w:t>
            </w:r>
            <w:r w:rsidR="00BD5E35">
              <w:rPr>
                <w:rFonts w:cs="Arial"/>
              </w:rPr>
              <w:t>8</w:t>
            </w:r>
            <w:r w:rsidR="000830CB">
              <w:rPr>
                <w:rFonts w:cs="Arial"/>
              </w:rPr>
              <w:t>3</w:t>
            </w:r>
            <w:r w:rsidR="00D45C65">
              <w:rPr>
                <w:rFonts w:cs="Arial"/>
              </w:rPr>
              <w:t>)</w:t>
            </w:r>
          </w:p>
        </w:tc>
      </w:tr>
    </w:tbl>
    <w:p w:rsidR="00F82BDE" w:rsidRDefault="00F82BDE" w:rsidP="00BC03D5">
      <w:pPr>
        <w:pStyle w:val="ListParagraph"/>
        <w:ind w:left="567"/>
        <w:jc w:val="both"/>
        <w:rPr>
          <w:rFonts w:cs="Arial"/>
        </w:rPr>
      </w:pPr>
    </w:p>
    <w:p w:rsidR="00F82BDE" w:rsidRPr="00EB34DC" w:rsidRDefault="00F82BDE" w:rsidP="00BC03D5">
      <w:pPr>
        <w:pStyle w:val="ListParagraph"/>
        <w:ind w:left="567"/>
        <w:jc w:val="both"/>
        <w:rPr>
          <w:rFonts w:cs="Arial"/>
        </w:rPr>
      </w:pPr>
    </w:p>
    <w:p w:rsidR="003C69B6" w:rsidRPr="00B54579" w:rsidRDefault="003C69B6" w:rsidP="008C337C">
      <w:pPr>
        <w:pStyle w:val="ListParagraph"/>
        <w:numPr>
          <w:ilvl w:val="0"/>
          <w:numId w:val="173"/>
        </w:numPr>
        <w:ind w:left="567" w:hanging="567"/>
        <w:jc w:val="both"/>
        <w:rPr>
          <w:rFonts w:cs="Arial"/>
        </w:rPr>
      </w:pPr>
      <w:r w:rsidRPr="003C69B6">
        <w:rPr>
          <w:rFonts w:cs="Arial"/>
          <w:bCs/>
        </w:rPr>
        <w:t xml:space="preserve">The </w:t>
      </w:r>
      <w:r w:rsidR="00ED11BB">
        <w:rPr>
          <w:rFonts w:cs="Arial"/>
          <w:bCs/>
        </w:rPr>
        <w:t xml:space="preserve">net underspend </w:t>
      </w:r>
      <w:r w:rsidR="00872ADB">
        <w:rPr>
          <w:rFonts w:cs="Arial"/>
          <w:bCs/>
        </w:rPr>
        <w:t xml:space="preserve">of </w:t>
      </w:r>
      <w:r w:rsidR="00872ADB" w:rsidRPr="008C337C">
        <w:rPr>
          <w:rFonts w:cs="Arial"/>
          <w:b/>
          <w:bCs/>
        </w:rPr>
        <w:t>(£0.</w:t>
      </w:r>
      <w:r w:rsidR="00BD5E35">
        <w:rPr>
          <w:rFonts w:cs="Arial"/>
          <w:b/>
          <w:bCs/>
        </w:rPr>
        <w:t>618</w:t>
      </w:r>
      <w:r w:rsidR="00872ADB" w:rsidRPr="008C337C">
        <w:rPr>
          <w:rFonts w:cs="Arial"/>
          <w:b/>
          <w:bCs/>
        </w:rPr>
        <w:t>m)</w:t>
      </w:r>
      <w:r w:rsidR="00872ADB">
        <w:rPr>
          <w:rFonts w:cs="Arial"/>
          <w:bCs/>
        </w:rPr>
        <w:t xml:space="preserve"> </w:t>
      </w:r>
      <w:r w:rsidR="00ED11BB">
        <w:rPr>
          <w:rFonts w:cs="Arial"/>
          <w:bCs/>
        </w:rPr>
        <w:t>mainly relates to externally generated income in</w:t>
      </w:r>
      <w:r w:rsidR="00657B5F">
        <w:rPr>
          <w:rFonts w:cs="Arial"/>
          <w:bCs/>
        </w:rPr>
        <w:t xml:space="preserve"> </w:t>
      </w:r>
      <w:r w:rsidR="002D1D95">
        <w:rPr>
          <w:rFonts w:cs="Arial"/>
          <w:bCs/>
        </w:rPr>
        <w:t xml:space="preserve">the </w:t>
      </w:r>
      <w:r w:rsidR="00657B5F">
        <w:rPr>
          <w:rFonts w:cs="Arial"/>
          <w:bCs/>
        </w:rPr>
        <w:t xml:space="preserve">Legal </w:t>
      </w:r>
      <w:r w:rsidR="00D76D65">
        <w:rPr>
          <w:rFonts w:cs="Arial"/>
          <w:bCs/>
        </w:rPr>
        <w:t xml:space="preserve"> Shared Service</w:t>
      </w:r>
      <w:r w:rsidR="00657B5F">
        <w:rPr>
          <w:rFonts w:cs="Arial"/>
          <w:bCs/>
        </w:rPr>
        <w:t>, anticipated rebate</w:t>
      </w:r>
      <w:r w:rsidR="002D1D95">
        <w:rPr>
          <w:rFonts w:cs="Arial"/>
          <w:bCs/>
        </w:rPr>
        <w:t>s</w:t>
      </w:r>
      <w:r w:rsidR="00657B5F">
        <w:rPr>
          <w:rFonts w:cs="Arial"/>
          <w:bCs/>
        </w:rPr>
        <w:t xml:space="preserve"> from </w:t>
      </w:r>
      <w:r w:rsidR="00454B6E">
        <w:rPr>
          <w:rFonts w:cs="Arial"/>
          <w:bCs/>
        </w:rPr>
        <w:t xml:space="preserve">the </w:t>
      </w:r>
      <w:proofErr w:type="spellStart"/>
      <w:r w:rsidR="00657B5F">
        <w:rPr>
          <w:rFonts w:cs="Arial"/>
          <w:bCs/>
        </w:rPr>
        <w:t>Pertemp</w:t>
      </w:r>
      <w:r w:rsidR="00454B6E">
        <w:rPr>
          <w:rFonts w:cs="Arial"/>
          <w:bCs/>
        </w:rPr>
        <w:t>s</w:t>
      </w:r>
      <w:proofErr w:type="spellEnd"/>
      <w:r w:rsidR="00657B5F">
        <w:rPr>
          <w:rFonts w:cs="Arial"/>
          <w:bCs/>
        </w:rPr>
        <w:t xml:space="preserve"> contract and </w:t>
      </w:r>
      <w:r w:rsidR="00872ADB">
        <w:rPr>
          <w:rFonts w:cs="Arial"/>
          <w:bCs/>
        </w:rPr>
        <w:t>other contract</w:t>
      </w:r>
      <w:r w:rsidR="00657B5F">
        <w:rPr>
          <w:rFonts w:cs="Arial"/>
          <w:bCs/>
        </w:rPr>
        <w:t xml:space="preserve"> efficiency savings. </w:t>
      </w:r>
    </w:p>
    <w:p w:rsidR="009A2561" w:rsidRPr="00B54579" w:rsidRDefault="009A2561" w:rsidP="008C337C">
      <w:pPr>
        <w:pStyle w:val="ListParagraph"/>
        <w:ind w:left="567"/>
        <w:jc w:val="both"/>
        <w:rPr>
          <w:rFonts w:cs="Arial"/>
        </w:rPr>
      </w:pPr>
    </w:p>
    <w:p w:rsidR="00A86813" w:rsidRDefault="00F37DA4" w:rsidP="008C337C">
      <w:pPr>
        <w:pStyle w:val="ListParagraph"/>
        <w:numPr>
          <w:ilvl w:val="0"/>
          <w:numId w:val="173"/>
        </w:numPr>
        <w:ind w:left="567" w:hanging="567"/>
        <w:jc w:val="both"/>
        <w:rPr>
          <w:rFonts w:cs="Arial"/>
        </w:rPr>
      </w:pPr>
      <w:r w:rsidRPr="008C337C">
        <w:rPr>
          <w:rFonts w:cs="Arial"/>
        </w:rPr>
        <w:t>The</w:t>
      </w:r>
      <w:r>
        <w:rPr>
          <w:rFonts w:cs="Arial"/>
          <w:b/>
        </w:rPr>
        <w:t xml:space="preserve"> </w:t>
      </w:r>
      <w:r w:rsidR="00A86813" w:rsidRPr="008C337C">
        <w:rPr>
          <w:rFonts w:cs="Arial"/>
          <w:b/>
        </w:rPr>
        <w:t>Customer Services</w:t>
      </w:r>
      <w:r w:rsidR="00A86813" w:rsidRPr="009A2561">
        <w:rPr>
          <w:rFonts w:cs="Arial"/>
        </w:rPr>
        <w:t xml:space="preserve"> division is projecting a ne</w:t>
      </w:r>
      <w:r w:rsidR="003533CE">
        <w:rPr>
          <w:rFonts w:cs="Arial"/>
        </w:rPr>
        <w:t xml:space="preserve">t underspend of </w:t>
      </w:r>
      <w:r w:rsidR="003533CE" w:rsidRPr="008C337C">
        <w:rPr>
          <w:rFonts w:cs="Arial"/>
          <w:b/>
        </w:rPr>
        <w:t>(£8</w:t>
      </w:r>
      <w:r w:rsidR="000830CB">
        <w:rPr>
          <w:rFonts w:cs="Arial"/>
          <w:b/>
        </w:rPr>
        <w:t>3</w:t>
      </w:r>
      <w:r w:rsidR="003533CE" w:rsidRPr="008C337C">
        <w:rPr>
          <w:rFonts w:cs="Arial"/>
          <w:b/>
        </w:rPr>
        <w:t>k)</w:t>
      </w:r>
      <w:r w:rsidR="003533CE">
        <w:rPr>
          <w:rFonts w:cs="Arial"/>
        </w:rPr>
        <w:t xml:space="preserve"> which relates mainly to</w:t>
      </w:r>
      <w:r>
        <w:rPr>
          <w:rFonts w:cs="Arial"/>
        </w:rPr>
        <w:t xml:space="preserve"> the</w:t>
      </w:r>
      <w:r w:rsidR="00A86813" w:rsidRPr="009A2561">
        <w:rPr>
          <w:rFonts w:cs="Arial"/>
        </w:rPr>
        <w:t xml:space="preserve"> lower cost of IT </w:t>
      </w:r>
      <w:r w:rsidR="00454B6E">
        <w:rPr>
          <w:rFonts w:cs="Arial"/>
        </w:rPr>
        <w:t>contractors and</w:t>
      </w:r>
      <w:r>
        <w:rPr>
          <w:rFonts w:cs="Arial"/>
        </w:rPr>
        <w:t xml:space="preserve"> the</w:t>
      </w:r>
      <w:r w:rsidR="00454B6E">
        <w:rPr>
          <w:rFonts w:cs="Arial"/>
        </w:rPr>
        <w:t xml:space="preserve"> </w:t>
      </w:r>
      <w:r w:rsidR="00EF6129">
        <w:rPr>
          <w:rFonts w:cs="Arial"/>
        </w:rPr>
        <w:t>IT</w:t>
      </w:r>
      <w:r w:rsidR="00454B6E">
        <w:rPr>
          <w:rFonts w:cs="Arial"/>
        </w:rPr>
        <w:t xml:space="preserve"> client team and </w:t>
      </w:r>
      <w:r w:rsidR="00A50A0E">
        <w:rPr>
          <w:rFonts w:cs="Arial"/>
        </w:rPr>
        <w:t xml:space="preserve">the </w:t>
      </w:r>
      <w:r w:rsidR="00454B6E">
        <w:rPr>
          <w:rFonts w:cs="Arial"/>
        </w:rPr>
        <w:t xml:space="preserve">reduced cost of </w:t>
      </w:r>
      <w:r w:rsidR="00A50A0E">
        <w:rPr>
          <w:rFonts w:cs="Arial"/>
        </w:rPr>
        <w:t>photo</w:t>
      </w:r>
      <w:r w:rsidR="00454B6E">
        <w:rPr>
          <w:rFonts w:cs="Arial"/>
        </w:rPr>
        <w:t>c</w:t>
      </w:r>
      <w:r w:rsidR="00A86813" w:rsidRPr="009A2561">
        <w:rPr>
          <w:rFonts w:cs="Arial"/>
        </w:rPr>
        <w:t>opiers.</w:t>
      </w:r>
      <w:r w:rsidR="00454B6E">
        <w:rPr>
          <w:rFonts w:cs="Arial"/>
        </w:rPr>
        <w:t xml:space="preserve"> The</w:t>
      </w:r>
      <w:r w:rsidR="00CE3F44">
        <w:rPr>
          <w:rFonts w:cs="Arial"/>
        </w:rPr>
        <w:t xml:space="preserve"> </w:t>
      </w:r>
      <w:r w:rsidR="00A50A0E">
        <w:rPr>
          <w:rFonts w:cs="Arial"/>
        </w:rPr>
        <w:t>r</w:t>
      </w:r>
      <w:r w:rsidR="00CE3F44">
        <w:rPr>
          <w:rFonts w:cs="Arial"/>
        </w:rPr>
        <w:t xml:space="preserve">eduction in </w:t>
      </w:r>
      <w:r w:rsidR="00A50A0E">
        <w:rPr>
          <w:rFonts w:cs="Arial"/>
        </w:rPr>
        <w:t xml:space="preserve">the </w:t>
      </w:r>
      <w:r w:rsidR="00CE3F44">
        <w:rPr>
          <w:rFonts w:cs="Arial"/>
        </w:rPr>
        <w:t xml:space="preserve">forecast underspend of </w:t>
      </w:r>
      <w:r w:rsidR="00CE3F44" w:rsidRPr="004C09AD">
        <w:rPr>
          <w:rFonts w:cs="Arial"/>
        </w:rPr>
        <w:t>£55k</w:t>
      </w:r>
      <w:r w:rsidR="00365628">
        <w:rPr>
          <w:rFonts w:cs="Arial"/>
        </w:rPr>
        <w:t xml:space="preserve"> when compare</w:t>
      </w:r>
      <w:r w:rsidR="00454B6E">
        <w:rPr>
          <w:rFonts w:cs="Arial"/>
        </w:rPr>
        <w:t>d</w:t>
      </w:r>
      <w:r w:rsidR="00365628">
        <w:rPr>
          <w:rFonts w:cs="Arial"/>
        </w:rPr>
        <w:t xml:space="preserve"> to </w:t>
      </w:r>
      <w:r w:rsidR="00DE4079">
        <w:rPr>
          <w:rFonts w:cs="Arial"/>
        </w:rPr>
        <w:t>Q</w:t>
      </w:r>
      <w:r w:rsidR="00365628">
        <w:rPr>
          <w:rFonts w:cs="Arial"/>
        </w:rPr>
        <w:t>uarter 1 is mainly</w:t>
      </w:r>
      <w:r w:rsidR="00CE3F44">
        <w:rPr>
          <w:rFonts w:cs="Arial"/>
        </w:rPr>
        <w:t xml:space="preserve"> due to</w:t>
      </w:r>
      <w:r w:rsidR="00365628">
        <w:rPr>
          <w:rFonts w:cs="Arial"/>
        </w:rPr>
        <w:t xml:space="preserve"> </w:t>
      </w:r>
      <w:r w:rsidR="00454B6E">
        <w:rPr>
          <w:rFonts w:cs="Arial"/>
        </w:rPr>
        <w:t xml:space="preserve">an </w:t>
      </w:r>
      <w:r w:rsidR="00365628">
        <w:rPr>
          <w:rFonts w:cs="Arial"/>
        </w:rPr>
        <w:t>increase</w:t>
      </w:r>
      <w:r w:rsidR="006C10C6">
        <w:rPr>
          <w:rFonts w:cs="Arial"/>
        </w:rPr>
        <w:t xml:space="preserve"> in</w:t>
      </w:r>
      <w:r w:rsidR="00A50A0E">
        <w:rPr>
          <w:rFonts w:cs="Arial"/>
        </w:rPr>
        <w:t xml:space="preserve"> staff costs of the p</w:t>
      </w:r>
      <w:r w:rsidR="00CE3F44">
        <w:rPr>
          <w:rFonts w:cs="Arial"/>
        </w:rPr>
        <w:t>arking ticket processing office</w:t>
      </w:r>
      <w:r w:rsidR="00A50A0E">
        <w:rPr>
          <w:rFonts w:cs="Arial"/>
        </w:rPr>
        <w:t>rs</w:t>
      </w:r>
      <w:r w:rsidR="00365628">
        <w:rPr>
          <w:rFonts w:cs="Arial"/>
        </w:rPr>
        <w:t>.</w:t>
      </w:r>
      <w:r w:rsidR="00CE3F44">
        <w:rPr>
          <w:rFonts w:cs="Arial"/>
        </w:rPr>
        <w:t xml:space="preserve"> </w:t>
      </w:r>
    </w:p>
    <w:p w:rsidR="009A2561" w:rsidRPr="00B54579" w:rsidRDefault="009A2561" w:rsidP="008C337C">
      <w:pPr>
        <w:pStyle w:val="ListParagraph"/>
        <w:rPr>
          <w:rFonts w:cs="Arial"/>
        </w:rPr>
      </w:pPr>
    </w:p>
    <w:p w:rsidR="009A2561" w:rsidRPr="00B54579" w:rsidRDefault="009A2561" w:rsidP="008C337C">
      <w:pPr>
        <w:pStyle w:val="ListParagraph"/>
        <w:numPr>
          <w:ilvl w:val="0"/>
          <w:numId w:val="173"/>
        </w:numPr>
        <w:ind w:left="567" w:hanging="567"/>
        <w:jc w:val="both"/>
        <w:rPr>
          <w:rFonts w:cs="Arial"/>
        </w:rPr>
      </w:pPr>
      <w:r w:rsidRPr="00931D86">
        <w:rPr>
          <w:rFonts w:cs="Arial"/>
          <w:b/>
          <w:lang w:val="en-US"/>
        </w:rPr>
        <w:t>Legal &amp; Governance</w:t>
      </w:r>
      <w:r w:rsidRPr="00931D86">
        <w:rPr>
          <w:rFonts w:cs="Arial"/>
          <w:lang w:val="en-US"/>
        </w:rPr>
        <w:t xml:space="preserve"> are reporting a net </w:t>
      </w:r>
      <w:r w:rsidRPr="008C337C">
        <w:rPr>
          <w:rFonts w:cs="Arial"/>
          <w:b/>
          <w:lang w:val="en-US"/>
        </w:rPr>
        <w:t>(£</w:t>
      </w:r>
      <w:r w:rsidR="00B97305">
        <w:rPr>
          <w:rFonts w:cs="Arial"/>
          <w:b/>
          <w:lang w:val="en-US"/>
        </w:rPr>
        <w:t>0.</w:t>
      </w:r>
      <w:r w:rsidRPr="008C337C">
        <w:rPr>
          <w:rFonts w:cs="Arial"/>
          <w:b/>
          <w:lang w:val="en-US"/>
        </w:rPr>
        <w:t>4</w:t>
      </w:r>
      <w:r w:rsidR="00B35DD0" w:rsidRPr="008C337C">
        <w:rPr>
          <w:rFonts w:cs="Arial"/>
          <w:b/>
          <w:lang w:val="en-US"/>
        </w:rPr>
        <w:t>6</w:t>
      </w:r>
      <w:r w:rsidR="000830CB">
        <w:rPr>
          <w:rFonts w:cs="Arial"/>
          <w:b/>
          <w:lang w:val="en-US"/>
        </w:rPr>
        <w:t>4</w:t>
      </w:r>
      <w:r w:rsidR="00B97305">
        <w:rPr>
          <w:rFonts w:cs="Arial"/>
          <w:b/>
          <w:lang w:val="en-US"/>
        </w:rPr>
        <w:t>m</w:t>
      </w:r>
      <w:r w:rsidRPr="008C337C">
        <w:rPr>
          <w:rFonts w:cs="Arial"/>
          <w:b/>
          <w:lang w:val="en-US"/>
        </w:rPr>
        <w:t>)</w:t>
      </w:r>
      <w:r w:rsidRPr="00931D86">
        <w:rPr>
          <w:rFonts w:cs="Arial"/>
          <w:lang w:val="en-US"/>
        </w:rPr>
        <w:t xml:space="preserve"> underspend in Q2 which is</w:t>
      </w:r>
      <w:r w:rsidR="006C10C6">
        <w:rPr>
          <w:rFonts w:cs="Arial"/>
          <w:lang w:val="en-US"/>
        </w:rPr>
        <w:t xml:space="preserve"> an increase of </w:t>
      </w:r>
      <w:r w:rsidR="00931D86" w:rsidRPr="00706829">
        <w:rPr>
          <w:rFonts w:cs="Arial"/>
          <w:lang w:val="en-US"/>
        </w:rPr>
        <w:t>(</w:t>
      </w:r>
      <w:r w:rsidRPr="00706829">
        <w:rPr>
          <w:rFonts w:cs="Arial"/>
          <w:lang w:val="en-US"/>
        </w:rPr>
        <w:t>£</w:t>
      </w:r>
      <w:r w:rsidR="00385B18" w:rsidRPr="00706829">
        <w:rPr>
          <w:rFonts w:cs="Arial"/>
          <w:lang w:val="en-US"/>
        </w:rPr>
        <w:t>0.232</w:t>
      </w:r>
      <w:r w:rsidR="00B35DD0" w:rsidRPr="00706829">
        <w:rPr>
          <w:rFonts w:cs="Arial"/>
          <w:lang w:val="en-US"/>
        </w:rPr>
        <w:t>m)</w:t>
      </w:r>
      <w:r w:rsidR="00B35DD0">
        <w:rPr>
          <w:rFonts w:cs="Arial"/>
          <w:lang w:val="en-US"/>
        </w:rPr>
        <w:t xml:space="preserve"> </w:t>
      </w:r>
      <w:r w:rsidR="006C10C6">
        <w:rPr>
          <w:rFonts w:cs="Arial"/>
          <w:lang w:val="en-US"/>
        </w:rPr>
        <w:t>when compared to</w:t>
      </w:r>
      <w:r w:rsidR="00F37DA4">
        <w:rPr>
          <w:rFonts w:cs="Arial"/>
          <w:lang w:val="en-US"/>
        </w:rPr>
        <w:t xml:space="preserve"> Q1, which</w:t>
      </w:r>
      <w:r w:rsidRPr="00931D86">
        <w:rPr>
          <w:rFonts w:cs="Arial"/>
          <w:lang w:val="en-US"/>
        </w:rPr>
        <w:t xml:space="preserve"> reflects </w:t>
      </w:r>
      <w:r w:rsidR="00B35DD0">
        <w:rPr>
          <w:rFonts w:cs="Arial"/>
          <w:lang w:val="en-US"/>
        </w:rPr>
        <w:t>additional external</w:t>
      </w:r>
      <w:r w:rsidR="004C09AD">
        <w:rPr>
          <w:rFonts w:cs="Arial"/>
          <w:lang w:val="en-US"/>
        </w:rPr>
        <w:t xml:space="preserve"> income from</w:t>
      </w:r>
      <w:r w:rsidR="00F37DA4">
        <w:rPr>
          <w:rFonts w:cs="Arial"/>
          <w:lang w:val="en-US"/>
        </w:rPr>
        <w:t xml:space="preserve"> the</w:t>
      </w:r>
      <w:r w:rsidR="004C09AD">
        <w:rPr>
          <w:rFonts w:cs="Arial"/>
          <w:lang w:val="en-US"/>
        </w:rPr>
        <w:t xml:space="preserve"> Legal Shared Service</w:t>
      </w:r>
      <w:r w:rsidR="00385B18">
        <w:rPr>
          <w:rFonts w:cs="Arial"/>
          <w:lang w:val="en-US"/>
        </w:rPr>
        <w:t>.</w:t>
      </w:r>
      <w:r w:rsidRPr="00931D86">
        <w:rPr>
          <w:rFonts w:cs="Arial"/>
          <w:lang w:val="en-US"/>
        </w:rPr>
        <w:t xml:space="preserve"> </w:t>
      </w:r>
      <w:r w:rsidRPr="00931D86">
        <w:rPr>
          <w:rFonts w:cs="Arial"/>
          <w:iCs/>
        </w:rPr>
        <w:t>Clients have been commissioning increased number of recorded hours from Legal Services. The number of hours commissioned by clients is reviewed on a monthly basis.</w:t>
      </w:r>
      <w:r w:rsidRPr="00931D86">
        <w:rPr>
          <w:rFonts w:cs="Arial"/>
          <w:lang w:val="en-US"/>
        </w:rPr>
        <w:t xml:space="preserve"> </w:t>
      </w:r>
    </w:p>
    <w:p w:rsidR="009A2561" w:rsidRPr="008C337C" w:rsidRDefault="009A2561" w:rsidP="008C337C">
      <w:pPr>
        <w:pStyle w:val="ListParagraph"/>
        <w:ind w:left="567"/>
        <w:jc w:val="both"/>
        <w:rPr>
          <w:rFonts w:cs="Arial"/>
        </w:rPr>
      </w:pPr>
    </w:p>
    <w:p w:rsidR="00385B18" w:rsidRPr="008C337C" w:rsidRDefault="00F37DA4" w:rsidP="008C337C">
      <w:pPr>
        <w:pStyle w:val="ListParagraph"/>
        <w:numPr>
          <w:ilvl w:val="0"/>
          <w:numId w:val="173"/>
        </w:numPr>
        <w:ind w:left="567" w:hanging="567"/>
        <w:jc w:val="both"/>
        <w:rPr>
          <w:rFonts w:cs="Arial"/>
        </w:rPr>
      </w:pPr>
      <w:r w:rsidRPr="008C337C">
        <w:rPr>
          <w:rFonts w:cs="Arial"/>
          <w:lang w:val="en-US"/>
        </w:rPr>
        <w:t>The</w:t>
      </w:r>
      <w:r>
        <w:rPr>
          <w:rFonts w:cs="Arial"/>
          <w:b/>
          <w:lang w:val="en-US"/>
        </w:rPr>
        <w:t xml:space="preserve"> </w:t>
      </w:r>
      <w:r w:rsidR="001A34CA">
        <w:rPr>
          <w:rFonts w:cs="Arial"/>
          <w:b/>
          <w:lang w:val="en-US"/>
        </w:rPr>
        <w:t xml:space="preserve">Procurement and </w:t>
      </w:r>
      <w:proofErr w:type="spellStart"/>
      <w:r w:rsidR="001A34CA">
        <w:rPr>
          <w:rFonts w:cs="Arial"/>
          <w:b/>
          <w:lang w:val="en-US"/>
        </w:rPr>
        <w:t>Commercialis</w:t>
      </w:r>
      <w:r w:rsidR="009A2561" w:rsidRPr="003533CE">
        <w:rPr>
          <w:rFonts w:cs="Arial"/>
          <w:b/>
          <w:lang w:val="en-US"/>
        </w:rPr>
        <w:t>ation</w:t>
      </w:r>
      <w:proofErr w:type="spellEnd"/>
      <w:r>
        <w:rPr>
          <w:rFonts w:cs="Arial"/>
          <w:b/>
          <w:lang w:val="en-US"/>
        </w:rPr>
        <w:t xml:space="preserve"> division</w:t>
      </w:r>
      <w:r w:rsidR="009A2561" w:rsidRPr="003533CE">
        <w:rPr>
          <w:rFonts w:cs="Arial"/>
          <w:lang w:val="en-US"/>
        </w:rPr>
        <w:t xml:space="preserve"> are currently forecasting an overall underspend of </w:t>
      </w:r>
      <w:r w:rsidR="009A2561" w:rsidRPr="008C337C">
        <w:rPr>
          <w:rFonts w:cs="Arial"/>
          <w:b/>
          <w:lang w:val="en-US"/>
        </w:rPr>
        <w:t>(£</w:t>
      </w:r>
      <w:r w:rsidR="00872ADB" w:rsidRPr="008C337C">
        <w:rPr>
          <w:rFonts w:cs="Arial"/>
          <w:b/>
          <w:lang w:val="en-US"/>
        </w:rPr>
        <w:t>0.17</w:t>
      </w:r>
      <w:r w:rsidR="009A2561" w:rsidRPr="008C337C">
        <w:rPr>
          <w:rFonts w:cs="Arial"/>
          <w:b/>
          <w:lang w:val="en-US"/>
        </w:rPr>
        <w:t>0</w:t>
      </w:r>
      <w:r w:rsidR="00872ADB" w:rsidRPr="008C337C">
        <w:rPr>
          <w:rFonts w:cs="Arial"/>
          <w:b/>
          <w:lang w:val="en-US"/>
        </w:rPr>
        <w:t>m</w:t>
      </w:r>
      <w:r w:rsidR="009A2561" w:rsidRPr="008C337C">
        <w:rPr>
          <w:rFonts w:cs="Arial"/>
          <w:b/>
          <w:lang w:val="en-US"/>
        </w:rPr>
        <w:t>)</w:t>
      </w:r>
      <w:r w:rsidR="009A2561" w:rsidRPr="003533CE">
        <w:rPr>
          <w:rFonts w:cs="Arial"/>
          <w:lang w:val="en-US"/>
        </w:rPr>
        <w:t xml:space="preserve"> in Q2 which reflects anticipated rebates from </w:t>
      </w:r>
      <w:proofErr w:type="spellStart"/>
      <w:r w:rsidR="009A2561" w:rsidRPr="003533CE">
        <w:rPr>
          <w:rFonts w:cs="Arial"/>
          <w:lang w:val="en-US"/>
        </w:rPr>
        <w:t>pertemps</w:t>
      </w:r>
      <w:proofErr w:type="spellEnd"/>
      <w:r w:rsidR="009A2561" w:rsidRPr="003533CE">
        <w:rPr>
          <w:rFonts w:cs="Arial"/>
          <w:lang w:val="en-US"/>
        </w:rPr>
        <w:t xml:space="preserve"> and delayed recruitment</w:t>
      </w:r>
      <w:r w:rsidR="00454B6E">
        <w:rPr>
          <w:rFonts w:cs="Arial"/>
          <w:lang w:val="en-US"/>
        </w:rPr>
        <w:t>. This is</w:t>
      </w:r>
      <w:r w:rsidR="00872ADB">
        <w:rPr>
          <w:rFonts w:cs="Arial"/>
          <w:lang w:val="en-US"/>
        </w:rPr>
        <w:t xml:space="preserve"> an increase in forecast underspend </w:t>
      </w:r>
      <w:r w:rsidR="00872ADB" w:rsidRPr="004C09AD">
        <w:rPr>
          <w:rFonts w:cs="Arial"/>
          <w:lang w:val="en-US"/>
        </w:rPr>
        <w:t>of (£</w:t>
      </w:r>
      <w:r w:rsidR="000830CB" w:rsidRPr="008C337C">
        <w:rPr>
          <w:rFonts w:cs="Arial"/>
          <w:lang w:val="en-US"/>
        </w:rPr>
        <w:t>69</w:t>
      </w:r>
      <w:r w:rsidR="00872ADB" w:rsidRPr="004C09AD">
        <w:rPr>
          <w:rFonts w:cs="Arial"/>
          <w:lang w:val="en-US"/>
        </w:rPr>
        <w:t>k)</w:t>
      </w:r>
      <w:r w:rsidR="00872ADB">
        <w:rPr>
          <w:rFonts w:cs="Arial"/>
          <w:lang w:val="en-US"/>
        </w:rPr>
        <w:t xml:space="preserve"> when compare</w:t>
      </w:r>
      <w:r w:rsidR="00454B6E">
        <w:rPr>
          <w:rFonts w:cs="Arial"/>
          <w:lang w:val="en-US"/>
        </w:rPr>
        <w:t>d</w:t>
      </w:r>
      <w:r w:rsidR="00872ADB">
        <w:rPr>
          <w:rFonts w:cs="Arial"/>
          <w:lang w:val="en-US"/>
        </w:rPr>
        <w:t xml:space="preserve"> with </w:t>
      </w:r>
      <w:r w:rsidR="00DE4079">
        <w:rPr>
          <w:rFonts w:cs="Arial"/>
          <w:lang w:val="en-US"/>
        </w:rPr>
        <w:t>Q</w:t>
      </w:r>
      <w:r w:rsidR="001F7015">
        <w:rPr>
          <w:rFonts w:cs="Arial"/>
          <w:lang w:val="en-US"/>
        </w:rPr>
        <w:t>1</w:t>
      </w:r>
      <w:r w:rsidR="00454B6E">
        <w:rPr>
          <w:rFonts w:cs="Arial"/>
          <w:lang w:val="en-US"/>
        </w:rPr>
        <w:t>,</w:t>
      </w:r>
      <w:r w:rsidR="004C09AD">
        <w:rPr>
          <w:rFonts w:cs="Arial"/>
          <w:lang w:val="en-US"/>
        </w:rPr>
        <w:t xml:space="preserve"> </w:t>
      </w:r>
      <w:r w:rsidR="00454B6E">
        <w:rPr>
          <w:rFonts w:cs="Arial"/>
          <w:lang w:val="en-US"/>
        </w:rPr>
        <w:t xml:space="preserve"> which </w:t>
      </w:r>
      <w:r w:rsidR="00385B18">
        <w:rPr>
          <w:rFonts w:cs="Arial"/>
          <w:lang w:val="en-US"/>
        </w:rPr>
        <w:t xml:space="preserve"> </w:t>
      </w:r>
      <w:r w:rsidR="006C10C6">
        <w:rPr>
          <w:rFonts w:cs="Arial"/>
          <w:lang w:val="en-US"/>
        </w:rPr>
        <w:t xml:space="preserve">is </w:t>
      </w:r>
      <w:r w:rsidR="00385B18">
        <w:rPr>
          <w:rFonts w:cs="Arial"/>
          <w:lang w:val="en-US"/>
        </w:rPr>
        <w:t>due to additional rebate from</w:t>
      </w:r>
      <w:r w:rsidR="006C10C6">
        <w:rPr>
          <w:rFonts w:cs="Arial"/>
          <w:lang w:val="en-US"/>
        </w:rPr>
        <w:t xml:space="preserve"> </w:t>
      </w:r>
      <w:r w:rsidR="00454B6E">
        <w:rPr>
          <w:rFonts w:cs="Arial"/>
          <w:lang w:val="en-US"/>
        </w:rPr>
        <w:t xml:space="preserve">the </w:t>
      </w:r>
      <w:proofErr w:type="spellStart"/>
      <w:r w:rsidR="006C10C6">
        <w:rPr>
          <w:rFonts w:cs="Arial"/>
          <w:lang w:val="en-US"/>
        </w:rPr>
        <w:t>Pertemps</w:t>
      </w:r>
      <w:proofErr w:type="spellEnd"/>
      <w:r w:rsidR="00454B6E">
        <w:rPr>
          <w:rFonts w:cs="Arial"/>
          <w:lang w:val="en-US"/>
        </w:rPr>
        <w:t xml:space="preserve"> contract</w:t>
      </w:r>
      <w:r w:rsidR="00385B18">
        <w:rPr>
          <w:rFonts w:cs="Arial"/>
          <w:lang w:val="en-US"/>
        </w:rPr>
        <w:t>.</w:t>
      </w:r>
    </w:p>
    <w:p w:rsidR="00385B18" w:rsidRPr="000830CB" w:rsidRDefault="00385B18" w:rsidP="008C337C">
      <w:pPr>
        <w:pStyle w:val="ListParagraph"/>
        <w:jc w:val="both"/>
        <w:rPr>
          <w:rFonts w:cs="Arial"/>
        </w:rPr>
      </w:pPr>
    </w:p>
    <w:p w:rsidR="00385B18" w:rsidRPr="008C337C" w:rsidRDefault="00F37DA4" w:rsidP="008C337C">
      <w:pPr>
        <w:pStyle w:val="ListParagraph"/>
        <w:numPr>
          <w:ilvl w:val="0"/>
          <w:numId w:val="173"/>
        </w:numPr>
        <w:ind w:left="567" w:hanging="567"/>
        <w:jc w:val="both"/>
        <w:rPr>
          <w:rFonts w:cs="Arial"/>
        </w:rPr>
      </w:pPr>
      <w:r w:rsidRPr="008C337C">
        <w:rPr>
          <w:rFonts w:cs="Arial"/>
          <w:lang w:val="en-US"/>
        </w:rPr>
        <w:t>The</w:t>
      </w:r>
      <w:r>
        <w:rPr>
          <w:rFonts w:cs="Arial"/>
          <w:b/>
          <w:lang w:val="en-US"/>
        </w:rPr>
        <w:t xml:space="preserve"> </w:t>
      </w:r>
      <w:r w:rsidR="00385B18" w:rsidRPr="00385B18">
        <w:rPr>
          <w:rFonts w:cs="Arial"/>
          <w:b/>
          <w:lang w:val="en-US"/>
        </w:rPr>
        <w:t>Director of Resources</w:t>
      </w:r>
      <w:r w:rsidR="00385B18" w:rsidRPr="00385B18">
        <w:rPr>
          <w:rFonts w:cs="Arial"/>
          <w:lang w:val="en-US"/>
        </w:rPr>
        <w:t xml:space="preserve"> </w:t>
      </w:r>
      <w:r>
        <w:rPr>
          <w:rFonts w:cs="Arial"/>
          <w:lang w:val="en-US"/>
        </w:rPr>
        <w:t xml:space="preserve">budget </w:t>
      </w:r>
      <w:r w:rsidR="00385B18" w:rsidRPr="00385B18">
        <w:rPr>
          <w:rFonts w:cs="Arial"/>
          <w:lang w:val="en-US"/>
        </w:rPr>
        <w:t xml:space="preserve">is reporting an overall underspend of </w:t>
      </w:r>
      <w:r w:rsidR="00385B18" w:rsidRPr="008C337C">
        <w:rPr>
          <w:rFonts w:cs="Arial"/>
          <w:b/>
          <w:lang w:val="en-US"/>
        </w:rPr>
        <w:t>(£8</w:t>
      </w:r>
      <w:r w:rsidR="00601ED2" w:rsidRPr="008C337C">
        <w:rPr>
          <w:rFonts w:cs="Arial"/>
          <w:b/>
          <w:lang w:val="en-US"/>
        </w:rPr>
        <w:t>5</w:t>
      </w:r>
      <w:r w:rsidR="00385B18" w:rsidRPr="008C337C">
        <w:rPr>
          <w:rFonts w:cs="Arial"/>
          <w:b/>
          <w:lang w:val="en-US"/>
        </w:rPr>
        <w:t>k)</w:t>
      </w:r>
      <w:r w:rsidR="00365628">
        <w:rPr>
          <w:rFonts w:cs="Arial"/>
          <w:b/>
          <w:lang w:val="en-US"/>
        </w:rPr>
        <w:t xml:space="preserve"> </w:t>
      </w:r>
      <w:r w:rsidR="00C63BEA">
        <w:rPr>
          <w:rFonts w:cs="Arial"/>
          <w:lang w:val="en-US"/>
        </w:rPr>
        <w:t>in</w:t>
      </w:r>
      <w:r w:rsidR="00365628" w:rsidRPr="008C337C">
        <w:rPr>
          <w:rFonts w:cs="Arial"/>
          <w:lang w:val="en-US"/>
        </w:rPr>
        <w:t xml:space="preserve"> </w:t>
      </w:r>
      <w:r w:rsidR="001F7015">
        <w:rPr>
          <w:rFonts w:cs="Arial"/>
          <w:lang w:val="en-US"/>
        </w:rPr>
        <w:t>Q</w:t>
      </w:r>
      <w:r w:rsidR="00365628" w:rsidRPr="008C337C">
        <w:rPr>
          <w:rFonts w:cs="Arial"/>
          <w:lang w:val="en-US"/>
        </w:rPr>
        <w:t>2</w:t>
      </w:r>
      <w:r w:rsidR="00365628">
        <w:rPr>
          <w:rFonts w:cs="Arial"/>
          <w:b/>
          <w:lang w:val="en-US"/>
        </w:rPr>
        <w:t>,</w:t>
      </w:r>
      <w:r w:rsidR="00385B18" w:rsidRPr="00385B18">
        <w:rPr>
          <w:rFonts w:cs="Arial"/>
          <w:lang w:val="en-US"/>
        </w:rPr>
        <w:t xml:space="preserve"> which is a</w:t>
      </w:r>
      <w:r>
        <w:rPr>
          <w:rFonts w:cs="Arial"/>
          <w:lang w:val="en-US"/>
        </w:rPr>
        <w:t>s a</w:t>
      </w:r>
      <w:r w:rsidR="00385B18" w:rsidRPr="00385B18">
        <w:rPr>
          <w:rFonts w:cs="Arial"/>
          <w:lang w:val="en-US"/>
        </w:rPr>
        <w:t xml:space="preserve"> result of </w:t>
      </w:r>
      <w:r>
        <w:rPr>
          <w:rFonts w:cs="Arial"/>
          <w:lang w:val="en-US"/>
        </w:rPr>
        <w:t>back</w:t>
      </w:r>
      <w:r w:rsidR="00385B18" w:rsidRPr="00385B18">
        <w:rPr>
          <w:rFonts w:cs="Arial"/>
          <w:lang w:val="en-US"/>
        </w:rPr>
        <w:t xml:space="preserve"> filling</w:t>
      </w:r>
      <w:r>
        <w:rPr>
          <w:rFonts w:cs="Arial"/>
          <w:lang w:val="en-US"/>
        </w:rPr>
        <w:t xml:space="preserve"> the Director of Resources post</w:t>
      </w:r>
      <w:r w:rsidR="001A34CA">
        <w:rPr>
          <w:rFonts w:cs="Arial"/>
          <w:lang w:val="en-US"/>
        </w:rPr>
        <w:t>.</w:t>
      </w:r>
    </w:p>
    <w:p w:rsidR="00385B18" w:rsidRPr="000830CB" w:rsidRDefault="00385B18" w:rsidP="008C337C">
      <w:pPr>
        <w:pStyle w:val="ListParagraph"/>
        <w:jc w:val="both"/>
        <w:rPr>
          <w:rFonts w:cs="Arial"/>
          <w:lang w:val="en-US"/>
        </w:rPr>
      </w:pPr>
    </w:p>
    <w:p w:rsidR="00CE3F44" w:rsidRPr="008C337C" w:rsidRDefault="00385B18" w:rsidP="008C337C">
      <w:pPr>
        <w:pStyle w:val="ListParagraph"/>
        <w:numPr>
          <w:ilvl w:val="0"/>
          <w:numId w:val="173"/>
        </w:numPr>
        <w:ind w:left="567" w:hanging="567"/>
        <w:jc w:val="both"/>
        <w:rPr>
          <w:rFonts w:cs="Arial"/>
        </w:rPr>
      </w:pPr>
      <w:r w:rsidRPr="00385B18">
        <w:rPr>
          <w:rFonts w:cs="Arial"/>
          <w:b/>
          <w:lang w:val="en-US"/>
        </w:rPr>
        <w:t>Finance</w:t>
      </w:r>
      <w:r w:rsidRPr="00385B18">
        <w:rPr>
          <w:rFonts w:cs="Arial"/>
          <w:lang w:val="en-US"/>
        </w:rPr>
        <w:t xml:space="preserve"> are reporting an under</w:t>
      </w:r>
      <w:r w:rsidR="00CB44B6">
        <w:rPr>
          <w:rFonts w:cs="Arial"/>
          <w:lang w:val="en-US"/>
        </w:rPr>
        <w:t xml:space="preserve"> </w:t>
      </w:r>
      <w:r w:rsidRPr="00385B18">
        <w:rPr>
          <w:rFonts w:cs="Arial"/>
          <w:lang w:val="en-US"/>
        </w:rPr>
        <w:t xml:space="preserve">spend of </w:t>
      </w:r>
      <w:r w:rsidRPr="00385B18">
        <w:rPr>
          <w:rFonts w:cs="Arial"/>
          <w:b/>
          <w:lang w:val="en-US"/>
        </w:rPr>
        <w:t>(£</w:t>
      </w:r>
      <w:r w:rsidR="00B97305">
        <w:rPr>
          <w:rFonts w:cs="Arial"/>
          <w:b/>
          <w:lang w:val="en-US"/>
        </w:rPr>
        <w:t>0.</w:t>
      </w:r>
      <w:r w:rsidR="00EE0A7E">
        <w:rPr>
          <w:rFonts w:cs="Arial"/>
          <w:b/>
          <w:lang w:val="en-US"/>
        </w:rPr>
        <w:t>119</w:t>
      </w:r>
      <w:r w:rsidR="00B97305">
        <w:rPr>
          <w:rFonts w:cs="Arial"/>
          <w:b/>
          <w:lang w:val="en-US"/>
        </w:rPr>
        <w:t>m</w:t>
      </w:r>
      <w:r w:rsidRPr="00385B18">
        <w:rPr>
          <w:rFonts w:cs="Arial"/>
          <w:b/>
          <w:lang w:val="en-US"/>
        </w:rPr>
        <w:t>)</w:t>
      </w:r>
      <w:r w:rsidRPr="00385B18">
        <w:rPr>
          <w:rFonts w:cs="Arial"/>
          <w:lang w:val="en-US"/>
        </w:rPr>
        <w:t xml:space="preserve"> </w:t>
      </w:r>
      <w:r w:rsidR="00C63BEA">
        <w:rPr>
          <w:rFonts w:cs="Arial"/>
          <w:lang w:val="en-US"/>
        </w:rPr>
        <w:t xml:space="preserve">mainly </w:t>
      </w:r>
      <w:r w:rsidRPr="00385B18">
        <w:rPr>
          <w:rFonts w:cs="Arial"/>
          <w:lang w:val="en-US"/>
        </w:rPr>
        <w:t>as a result of early insurance savings</w:t>
      </w:r>
      <w:r w:rsidR="00D76D65">
        <w:rPr>
          <w:rFonts w:cs="Arial"/>
          <w:lang w:val="en-US"/>
        </w:rPr>
        <w:t>. A</w:t>
      </w:r>
      <w:r w:rsidRPr="00385B18">
        <w:rPr>
          <w:rFonts w:cs="Arial"/>
          <w:lang w:val="en-US"/>
        </w:rPr>
        <w:t xml:space="preserve">n increase of </w:t>
      </w:r>
      <w:r w:rsidRPr="008C337C">
        <w:rPr>
          <w:rFonts w:cs="Arial"/>
          <w:lang w:val="en-US"/>
        </w:rPr>
        <w:t>(£</w:t>
      </w:r>
      <w:r w:rsidR="00EE0A7E" w:rsidRPr="008C337C">
        <w:rPr>
          <w:rFonts w:cs="Arial"/>
          <w:lang w:val="en-US"/>
        </w:rPr>
        <w:t>98</w:t>
      </w:r>
      <w:r w:rsidRPr="008C337C">
        <w:rPr>
          <w:rFonts w:cs="Arial"/>
          <w:lang w:val="en-US"/>
        </w:rPr>
        <w:t xml:space="preserve">k) </w:t>
      </w:r>
      <w:r w:rsidRPr="00385B18">
        <w:rPr>
          <w:rFonts w:cs="Arial"/>
          <w:lang w:val="en-US"/>
        </w:rPr>
        <w:t>when compare</w:t>
      </w:r>
      <w:r w:rsidR="00454B6E">
        <w:rPr>
          <w:rFonts w:cs="Arial"/>
          <w:lang w:val="en-US"/>
        </w:rPr>
        <w:t>d</w:t>
      </w:r>
      <w:r w:rsidRPr="00385B18">
        <w:rPr>
          <w:rFonts w:cs="Arial"/>
          <w:lang w:val="en-US"/>
        </w:rPr>
        <w:t xml:space="preserve"> to </w:t>
      </w:r>
      <w:r w:rsidR="001F7015">
        <w:rPr>
          <w:rFonts w:cs="Arial"/>
          <w:lang w:val="en-US"/>
        </w:rPr>
        <w:t>Q</w:t>
      </w:r>
      <w:r w:rsidRPr="00385B18">
        <w:rPr>
          <w:rFonts w:cs="Arial"/>
          <w:lang w:val="en-US"/>
        </w:rPr>
        <w:t>1</w:t>
      </w:r>
      <w:r w:rsidR="00EE0A7E">
        <w:rPr>
          <w:rFonts w:cs="Arial"/>
          <w:lang w:val="en-US"/>
        </w:rPr>
        <w:t xml:space="preserve"> is due to additional income.</w:t>
      </w:r>
    </w:p>
    <w:p w:rsidR="00CE3F44" w:rsidRPr="000830CB" w:rsidRDefault="00CE3F44" w:rsidP="008C337C">
      <w:pPr>
        <w:pStyle w:val="ListParagraph"/>
        <w:jc w:val="both"/>
        <w:rPr>
          <w:rFonts w:cs="Arial"/>
          <w:lang w:val="en-US"/>
        </w:rPr>
      </w:pPr>
    </w:p>
    <w:p w:rsidR="009A2561" w:rsidRPr="008C337C" w:rsidRDefault="00CE3F44" w:rsidP="008C337C">
      <w:pPr>
        <w:pStyle w:val="ListParagraph"/>
        <w:numPr>
          <w:ilvl w:val="0"/>
          <w:numId w:val="173"/>
        </w:numPr>
        <w:ind w:left="567" w:hanging="567"/>
        <w:jc w:val="both"/>
        <w:rPr>
          <w:rFonts w:cs="Arial"/>
        </w:rPr>
      </w:pPr>
      <w:r>
        <w:rPr>
          <w:rFonts w:cs="Arial"/>
          <w:lang w:val="en-US"/>
        </w:rPr>
        <w:t xml:space="preserve">Other </w:t>
      </w:r>
      <w:r w:rsidR="00C52784">
        <w:rPr>
          <w:rFonts w:cs="Arial"/>
          <w:lang w:val="en-US"/>
        </w:rPr>
        <w:t>underspends</w:t>
      </w:r>
      <w:r>
        <w:rPr>
          <w:rFonts w:cs="Arial"/>
          <w:lang w:val="en-US"/>
        </w:rPr>
        <w:t xml:space="preserve"> across the directorate of </w:t>
      </w:r>
      <w:r w:rsidRPr="008C337C">
        <w:rPr>
          <w:rFonts w:cs="Arial"/>
          <w:b/>
          <w:lang w:val="en-US"/>
        </w:rPr>
        <w:t>(£</w:t>
      </w:r>
      <w:r>
        <w:rPr>
          <w:rFonts w:cs="Arial"/>
          <w:b/>
          <w:lang w:val="en-US"/>
        </w:rPr>
        <w:t>6</w:t>
      </w:r>
      <w:r w:rsidR="000830CB">
        <w:rPr>
          <w:rFonts w:cs="Arial"/>
          <w:b/>
          <w:lang w:val="en-US"/>
        </w:rPr>
        <w:t>4</w:t>
      </w:r>
      <w:r w:rsidRPr="008C337C">
        <w:rPr>
          <w:rFonts w:cs="Arial"/>
          <w:b/>
          <w:lang w:val="en-US"/>
        </w:rPr>
        <w:t>k)</w:t>
      </w:r>
      <w:r>
        <w:rPr>
          <w:rFonts w:cs="Arial"/>
          <w:lang w:val="en-US"/>
        </w:rPr>
        <w:t xml:space="preserve"> in Human </w:t>
      </w:r>
      <w:r w:rsidR="002D1D95">
        <w:rPr>
          <w:rFonts w:cs="Arial"/>
          <w:lang w:val="en-US"/>
        </w:rPr>
        <w:t>Resources</w:t>
      </w:r>
      <w:r w:rsidR="00365628">
        <w:rPr>
          <w:rFonts w:cs="Arial"/>
          <w:lang w:val="en-US"/>
        </w:rPr>
        <w:t>, Business Support</w:t>
      </w:r>
      <w:r>
        <w:rPr>
          <w:rFonts w:cs="Arial"/>
          <w:lang w:val="en-US"/>
        </w:rPr>
        <w:t xml:space="preserve"> and Assurance ha</w:t>
      </w:r>
      <w:r w:rsidR="00F37DA4">
        <w:rPr>
          <w:rFonts w:cs="Arial"/>
          <w:lang w:val="en-US"/>
        </w:rPr>
        <w:t>ve</w:t>
      </w:r>
      <w:r>
        <w:rPr>
          <w:rFonts w:cs="Arial"/>
          <w:lang w:val="en-US"/>
        </w:rPr>
        <w:t xml:space="preserve"> improved </w:t>
      </w:r>
      <w:r w:rsidR="00EE0A7E">
        <w:rPr>
          <w:rFonts w:cs="Arial"/>
          <w:lang w:val="en-US"/>
        </w:rPr>
        <w:t xml:space="preserve">by </w:t>
      </w:r>
      <w:r w:rsidRPr="008C337C">
        <w:rPr>
          <w:rFonts w:cs="Arial"/>
          <w:lang w:val="en-US"/>
        </w:rPr>
        <w:t>(£5</w:t>
      </w:r>
      <w:r w:rsidR="00365628" w:rsidRPr="008C337C">
        <w:rPr>
          <w:rFonts w:cs="Arial"/>
          <w:lang w:val="en-US"/>
        </w:rPr>
        <w:t>6</w:t>
      </w:r>
      <w:r w:rsidRPr="00706829">
        <w:rPr>
          <w:rFonts w:cs="Arial"/>
          <w:lang w:val="en-US"/>
        </w:rPr>
        <w:t>k)</w:t>
      </w:r>
      <w:r>
        <w:rPr>
          <w:rFonts w:cs="Arial"/>
          <w:lang w:val="en-US"/>
        </w:rPr>
        <w:t xml:space="preserve"> when compare</w:t>
      </w:r>
      <w:r w:rsidR="00454B6E">
        <w:rPr>
          <w:rFonts w:cs="Arial"/>
          <w:lang w:val="en-US"/>
        </w:rPr>
        <w:t>d</w:t>
      </w:r>
      <w:r>
        <w:rPr>
          <w:rFonts w:cs="Arial"/>
          <w:lang w:val="en-US"/>
        </w:rPr>
        <w:t xml:space="preserve"> to </w:t>
      </w:r>
      <w:r w:rsidR="001F7015">
        <w:rPr>
          <w:rFonts w:cs="Arial"/>
          <w:lang w:val="en-US"/>
        </w:rPr>
        <w:t>Q</w:t>
      </w:r>
      <w:r>
        <w:rPr>
          <w:rFonts w:cs="Arial"/>
          <w:lang w:val="en-US"/>
        </w:rPr>
        <w:t>1.</w:t>
      </w:r>
    </w:p>
    <w:p w:rsidR="003533CE" w:rsidRPr="00B54579" w:rsidRDefault="003533CE" w:rsidP="008C337C">
      <w:pPr>
        <w:pStyle w:val="ListParagraph"/>
        <w:jc w:val="both"/>
        <w:rPr>
          <w:rFonts w:cs="Arial"/>
        </w:rPr>
      </w:pPr>
    </w:p>
    <w:p w:rsidR="00A369BB" w:rsidRPr="008C337C" w:rsidRDefault="009A2561" w:rsidP="008C337C">
      <w:pPr>
        <w:pStyle w:val="ListParagraph"/>
        <w:numPr>
          <w:ilvl w:val="0"/>
          <w:numId w:val="173"/>
        </w:numPr>
        <w:ind w:left="567" w:hanging="567"/>
        <w:jc w:val="both"/>
        <w:rPr>
          <w:rFonts w:cs="Arial"/>
          <w:lang w:val="en-US"/>
        </w:rPr>
      </w:pPr>
      <w:r w:rsidRPr="00A369BB">
        <w:rPr>
          <w:rFonts w:cs="Arial"/>
          <w:b/>
          <w:lang w:val="en-US"/>
        </w:rPr>
        <w:t>Strategic Commissioning</w:t>
      </w:r>
      <w:r w:rsidR="00454B6E">
        <w:rPr>
          <w:rFonts w:cs="Arial"/>
          <w:lang w:val="en-US"/>
        </w:rPr>
        <w:t xml:space="preserve"> is forecasting a</w:t>
      </w:r>
      <w:r w:rsidRPr="00A369BB">
        <w:rPr>
          <w:rFonts w:cs="Arial"/>
          <w:lang w:val="en-US"/>
        </w:rPr>
        <w:t xml:space="preserve"> </w:t>
      </w:r>
      <w:r w:rsidRPr="008C337C">
        <w:rPr>
          <w:rFonts w:cs="Arial"/>
          <w:b/>
          <w:lang w:val="en-US"/>
        </w:rPr>
        <w:t>£0.</w:t>
      </w:r>
      <w:r w:rsidR="00CE3F44" w:rsidRPr="00A369BB">
        <w:rPr>
          <w:rFonts w:cs="Arial"/>
          <w:b/>
          <w:lang w:val="en-US"/>
        </w:rPr>
        <w:t>36</w:t>
      </w:r>
      <w:r w:rsidR="00872ADB" w:rsidRPr="008C337C">
        <w:rPr>
          <w:rFonts w:cs="Arial"/>
          <w:b/>
          <w:lang w:val="en-US"/>
        </w:rPr>
        <w:t>7</w:t>
      </w:r>
      <w:r w:rsidRPr="008C337C">
        <w:rPr>
          <w:rFonts w:cs="Arial"/>
          <w:b/>
          <w:lang w:val="en-US"/>
        </w:rPr>
        <w:t>m</w:t>
      </w:r>
      <w:r w:rsidR="00D76D65">
        <w:rPr>
          <w:rFonts w:cs="Arial"/>
          <w:lang w:val="en-US"/>
        </w:rPr>
        <w:t xml:space="preserve"> over s</w:t>
      </w:r>
      <w:r w:rsidRPr="00A369BB">
        <w:rPr>
          <w:rFonts w:cs="Arial"/>
          <w:lang w:val="en-US"/>
        </w:rPr>
        <w:t>pend,</w:t>
      </w:r>
      <w:r w:rsidR="003533CE" w:rsidRPr="00A369BB">
        <w:rPr>
          <w:rFonts w:cs="Arial"/>
          <w:lang w:val="en-US"/>
        </w:rPr>
        <w:t xml:space="preserve"> this pressure mostly relates to </w:t>
      </w:r>
      <w:r w:rsidR="00F37DA4">
        <w:rPr>
          <w:rFonts w:cs="Arial"/>
          <w:lang w:val="en-US"/>
        </w:rPr>
        <w:t>the</w:t>
      </w:r>
      <w:r w:rsidR="002D1D95">
        <w:rPr>
          <w:rFonts w:cs="Arial"/>
          <w:lang w:val="en-US"/>
        </w:rPr>
        <w:t xml:space="preserve"> </w:t>
      </w:r>
      <w:r w:rsidR="003533CE" w:rsidRPr="00A369BB">
        <w:rPr>
          <w:rFonts w:cs="Arial"/>
          <w:lang w:val="en-US"/>
        </w:rPr>
        <w:t>communication budget</w:t>
      </w:r>
      <w:r w:rsidR="00454B6E">
        <w:rPr>
          <w:rFonts w:cs="Arial"/>
          <w:lang w:val="en-US"/>
        </w:rPr>
        <w:t xml:space="preserve"> which</w:t>
      </w:r>
      <w:r w:rsidR="00C52784" w:rsidRPr="00A369BB">
        <w:rPr>
          <w:rFonts w:cs="Arial"/>
          <w:lang w:val="en-US"/>
        </w:rPr>
        <w:t xml:space="preserve"> is </w:t>
      </w:r>
      <w:r w:rsidR="003533CE" w:rsidRPr="00A369BB">
        <w:rPr>
          <w:rFonts w:cs="Arial"/>
          <w:lang w:val="en-US"/>
        </w:rPr>
        <w:t xml:space="preserve">due </w:t>
      </w:r>
      <w:r w:rsidRPr="00A369BB">
        <w:rPr>
          <w:rFonts w:cs="Arial"/>
          <w:lang w:val="en-US"/>
        </w:rPr>
        <w:t>to lower</w:t>
      </w:r>
      <w:r w:rsidR="00A369BB">
        <w:rPr>
          <w:rFonts w:cs="Arial"/>
          <w:lang w:val="en-US"/>
        </w:rPr>
        <w:t xml:space="preserve"> income from</w:t>
      </w:r>
      <w:r w:rsidRPr="00A369BB">
        <w:rPr>
          <w:rFonts w:cs="Arial"/>
          <w:lang w:val="en-US"/>
        </w:rPr>
        <w:t xml:space="preserve"> internals clients.</w:t>
      </w:r>
      <w:r w:rsidR="00872ADB" w:rsidRPr="00A369BB">
        <w:rPr>
          <w:rFonts w:cs="Arial"/>
          <w:lang w:val="en-US"/>
        </w:rPr>
        <w:t xml:space="preserve"> The over</w:t>
      </w:r>
      <w:r w:rsidR="007B12C5">
        <w:rPr>
          <w:rFonts w:cs="Arial"/>
          <w:lang w:val="en-US"/>
        </w:rPr>
        <w:t xml:space="preserve"> </w:t>
      </w:r>
      <w:r w:rsidR="00872ADB" w:rsidRPr="00A369BB">
        <w:rPr>
          <w:rFonts w:cs="Arial"/>
          <w:lang w:val="en-US"/>
        </w:rPr>
        <w:t xml:space="preserve">spend has increased by </w:t>
      </w:r>
      <w:r w:rsidR="00872ADB" w:rsidRPr="00706829">
        <w:rPr>
          <w:rFonts w:cs="Arial"/>
          <w:lang w:val="en-US"/>
        </w:rPr>
        <w:t>£0.10</w:t>
      </w:r>
      <w:r w:rsidR="000830CB" w:rsidRPr="00706829">
        <w:rPr>
          <w:rFonts w:cs="Arial"/>
          <w:lang w:val="en-US"/>
        </w:rPr>
        <w:t>2</w:t>
      </w:r>
      <w:r w:rsidR="00872ADB" w:rsidRPr="00706829">
        <w:rPr>
          <w:rFonts w:cs="Arial"/>
          <w:lang w:val="en-US"/>
        </w:rPr>
        <w:t>m</w:t>
      </w:r>
      <w:r w:rsidR="00872ADB" w:rsidRPr="00A369BB">
        <w:rPr>
          <w:rFonts w:cs="Arial"/>
          <w:lang w:val="en-US"/>
        </w:rPr>
        <w:t xml:space="preserve"> due to</w:t>
      </w:r>
      <w:r w:rsidR="00A369BB" w:rsidRPr="00A369BB">
        <w:rPr>
          <w:rFonts w:ascii="Century Gothic" w:hAnsi="Century Gothic"/>
          <w:sz w:val="22"/>
          <w:szCs w:val="22"/>
          <w:lang w:val="en-US"/>
        </w:rPr>
        <w:t xml:space="preserve"> </w:t>
      </w:r>
      <w:r w:rsidR="00A369BB" w:rsidRPr="008C337C">
        <w:rPr>
          <w:rFonts w:cs="Arial"/>
          <w:lang w:val="en-US"/>
        </w:rPr>
        <w:t xml:space="preserve">additional </w:t>
      </w:r>
      <w:r w:rsidR="002D1D95" w:rsidRPr="00A369BB">
        <w:rPr>
          <w:rFonts w:cs="Arial"/>
          <w:lang w:val="en-US"/>
        </w:rPr>
        <w:t xml:space="preserve">spend </w:t>
      </w:r>
      <w:r w:rsidR="002D1D95">
        <w:rPr>
          <w:rFonts w:cs="Arial"/>
          <w:lang w:val="en-US"/>
        </w:rPr>
        <w:t>on</w:t>
      </w:r>
      <w:r w:rsidR="00A369BB" w:rsidRPr="008C337C">
        <w:rPr>
          <w:rFonts w:cs="Arial"/>
          <w:lang w:val="en-US"/>
        </w:rPr>
        <w:t xml:space="preserve"> </w:t>
      </w:r>
      <w:r w:rsidR="00F37DA4">
        <w:rPr>
          <w:rFonts w:cs="Arial"/>
          <w:lang w:val="en-US"/>
        </w:rPr>
        <w:t xml:space="preserve">the </w:t>
      </w:r>
      <w:r w:rsidR="00A369BB" w:rsidRPr="008C337C">
        <w:rPr>
          <w:rFonts w:cs="Arial"/>
          <w:lang w:val="en-US"/>
        </w:rPr>
        <w:t>waste campaign, library promotion campaign</w:t>
      </w:r>
      <w:r w:rsidR="00EF6129">
        <w:rPr>
          <w:rFonts w:cs="Arial"/>
          <w:lang w:val="en-US"/>
        </w:rPr>
        <w:t xml:space="preserve"> and guide</w:t>
      </w:r>
      <w:r w:rsidR="00A369BB" w:rsidRPr="008C337C">
        <w:rPr>
          <w:rFonts w:cs="Arial"/>
          <w:lang w:val="en-US"/>
        </w:rPr>
        <w:t>.</w:t>
      </w:r>
    </w:p>
    <w:p w:rsidR="00007076" w:rsidRDefault="00007076" w:rsidP="00E84016">
      <w:pPr>
        <w:spacing w:after="240"/>
        <w:ind w:left="561" w:right="306" w:hanging="561"/>
        <w:jc w:val="both"/>
        <w:rPr>
          <w:rFonts w:cs="Arial"/>
          <w:b/>
          <w:u w:val="single"/>
        </w:rPr>
      </w:pPr>
    </w:p>
    <w:p w:rsidR="00E84016" w:rsidRPr="0094250E" w:rsidRDefault="00E33D31" w:rsidP="00E84016">
      <w:pPr>
        <w:spacing w:after="240"/>
        <w:ind w:left="561" w:right="306" w:hanging="561"/>
        <w:jc w:val="both"/>
        <w:rPr>
          <w:rFonts w:cs="Arial"/>
          <w:b/>
          <w:u w:val="single"/>
        </w:rPr>
      </w:pPr>
      <w:r>
        <w:rPr>
          <w:rFonts w:cs="Arial"/>
          <w:b/>
          <w:u w:val="single"/>
        </w:rPr>
        <w:t>C</w:t>
      </w:r>
      <w:r w:rsidR="00E84016" w:rsidRPr="0094250E">
        <w:rPr>
          <w:rFonts w:cs="Arial"/>
          <w:b/>
          <w:u w:val="single"/>
        </w:rPr>
        <w:t>ommunity</w:t>
      </w:r>
    </w:p>
    <w:p w:rsidR="00E84016" w:rsidRPr="00646DA7" w:rsidRDefault="00876F99" w:rsidP="008C337C">
      <w:pPr>
        <w:pStyle w:val="ListParagraph"/>
        <w:numPr>
          <w:ilvl w:val="0"/>
          <w:numId w:val="173"/>
        </w:numPr>
        <w:ind w:left="567" w:hanging="567"/>
        <w:jc w:val="both"/>
        <w:rPr>
          <w:rFonts w:cs="Arial"/>
        </w:rPr>
      </w:pPr>
      <w:r>
        <w:rPr>
          <w:bCs/>
          <w:lang w:val="en-US"/>
        </w:rPr>
        <w:t xml:space="preserve">At </w:t>
      </w:r>
      <w:r w:rsidR="00F82BDE">
        <w:rPr>
          <w:bCs/>
          <w:lang w:val="en-US"/>
        </w:rPr>
        <w:t xml:space="preserve">Quarter </w:t>
      </w:r>
      <w:r w:rsidR="00D45C65">
        <w:rPr>
          <w:bCs/>
          <w:lang w:val="en-US"/>
        </w:rPr>
        <w:t>2</w:t>
      </w:r>
      <w:r w:rsidR="00E84016" w:rsidRPr="00225A62">
        <w:rPr>
          <w:bCs/>
          <w:lang w:val="en-US"/>
        </w:rPr>
        <w:t>, the Community Directorate is forecasting an overspend of £0.</w:t>
      </w:r>
      <w:r w:rsidR="00D45C65">
        <w:rPr>
          <w:bCs/>
          <w:lang w:val="en-US"/>
        </w:rPr>
        <w:t>7</w:t>
      </w:r>
      <w:r w:rsidR="00084B17">
        <w:rPr>
          <w:bCs/>
          <w:lang w:val="en-US"/>
        </w:rPr>
        <w:t>10</w:t>
      </w:r>
      <w:r w:rsidR="00225A62" w:rsidRPr="00225A62">
        <w:rPr>
          <w:bCs/>
          <w:lang w:val="en-US"/>
        </w:rPr>
        <w:t>m</w:t>
      </w:r>
      <w:r w:rsidR="00F37DA4">
        <w:rPr>
          <w:bCs/>
          <w:lang w:val="en-US"/>
        </w:rPr>
        <w:t>.</w:t>
      </w:r>
      <w:r w:rsidR="00225A62" w:rsidRPr="00225A62">
        <w:rPr>
          <w:bCs/>
          <w:lang w:val="en-US"/>
        </w:rPr>
        <w:t xml:space="preserve"> </w:t>
      </w:r>
    </w:p>
    <w:p w:rsidR="00974E77" w:rsidRDefault="00974E77" w:rsidP="0094250E">
      <w:pPr>
        <w:pStyle w:val="ListParagraph"/>
        <w:ind w:left="567"/>
        <w:jc w:val="both"/>
        <w:rPr>
          <w:b/>
          <w:bCs/>
        </w:rPr>
      </w:pPr>
    </w:p>
    <w:p w:rsidR="007F4045" w:rsidRPr="0094250E" w:rsidRDefault="00876F99" w:rsidP="0094250E">
      <w:pPr>
        <w:pStyle w:val="ListParagraph"/>
        <w:ind w:left="567"/>
        <w:jc w:val="both"/>
        <w:rPr>
          <w:b/>
          <w:bCs/>
          <w:u w:val="single"/>
        </w:rPr>
      </w:pPr>
      <w:r w:rsidRPr="0094250E">
        <w:rPr>
          <w:b/>
          <w:bCs/>
        </w:rPr>
        <w:t xml:space="preserve"> </w:t>
      </w:r>
      <w:r w:rsidR="00F71695">
        <w:rPr>
          <w:b/>
          <w:bCs/>
          <w:u w:val="single"/>
        </w:rPr>
        <w:t xml:space="preserve">Table </w:t>
      </w:r>
      <w:r w:rsidR="00AC39ED">
        <w:rPr>
          <w:b/>
          <w:bCs/>
          <w:u w:val="single"/>
        </w:rPr>
        <w:t>3</w:t>
      </w:r>
      <w:r w:rsidR="007F4045" w:rsidRPr="0094250E">
        <w:rPr>
          <w:b/>
          <w:bCs/>
          <w:u w:val="single"/>
        </w:rPr>
        <w:t xml:space="preserve">: Community Directorate </w:t>
      </w:r>
      <w:r w:rsidR="00EF6129">
        <w:rPr>
          <w:b/>
          <w:bCs/>
          <w:u w:val="single"/>
        </w:rPr>
        <w:t>V</w:t>
      </w:r>
      <w:r w:rsidR="007F4045" w:rsidRPr="0094250E">
        <w:rPr>
          <w:b/>
          <w:bCs/>
          <w:u w:val="single"/>
        </w:rPr>
        <w:t>ariance</w:t>
      </w:r>
    </w:p>
    <w:tbl>
      <w:tblPr>
        <w:tblW w:w="8104" w:type="dxa"/>
        <w:tblInd w:w="794" w:type="dxa"/>
        <w:tblLook w:val="04A0" w:firstRow="1" w:lastRow="0" w:firstColumn="1" w:lastColumn="0" w:noHBand="0" w:noVBand="1"/>
      </w:tblPr>
      <w:tblGrid>
        <w:gridCol w:w="3425"/>
        <w:gridCol w:w="1843"/>
        <w:gridCol w:w="1418"/>
        <w:gridCol w:w="1418"/>
      </w:tblGrid>
      <w:tr w:rsidR="009B6EFE" w:rsidRPr="007F4045" w:rsidTr="00063A62">
        <w:trPr>
          <w:trHeight w:val="338"/>
        </w:trPr>
        <w:tc>
          <w:tcPr>
            <w:tcW w:w="3425" w:type="dxa"/>
            <w:vMerge w:val="restart"/>
            <w:tcBorders>
              <w:top w:val="single" w:sz="8" w:space="0" w:color="auto"/>
              <w:left w:val="single" w:sz="8" w:space="0" w:color="auto"/>
              <w:bottom w:val="nil"/>
              <w:right w:val="single" w:sz="8" w:space="0" w:color="auto"/>
            </w:tcBorders>
            <w:shd w:val="clear" w:color="auto" w:fill="auto"/>
            <w:vAlign w:val="center"/>
            <w:hideMark/>
          </w:tcPr>
          <w:p w:rsidR="009B6EFE" w:rsidRPr="007F4045" w:rsidRDefault="009B6EFE" w:rsidP="007F4045">
            <w:pPr>
              <w:pStyle w:val="ListParagraph"/>
              <w:ind w:left="567"/>
              <w:rPr>
                <w:bCs/>
              </w:rPr>
            </w:pPr>
            <w:r w:rsidRPr="007F4045">
              <w:rPr>
                <w:bCs/>
              </w:rPr>
              <w:t> </w:t>
            </w:r>
          </w:p>
        </w:tc>
        <w:tc>
          <w:tcPr>
            <w:tcW w:w="1843" w:type="dxa"/>
            <w:tcBorders>
              <w:top w:val="single" w:sz="8" w:space="0" w:color="auto"/>
              <w:left w:val="nil"/>
              <w:bottom w:val="nil"/>
              <w:right w:val="single" w:sz="8" w:space="0" w:color="auto"/>
            </w:tcBorders>
            <w:shd w:val="clear" w:color="auto" w:fill="auto"/>
            <w:vAlign w:val="center"/>
          </w:tcPr>
          <w:p w:rsidR="009B6EFE" w:rsidRPr="0094250E" w:rsidRDefault="009B6EFE" w:rsidP="0094250E">
            <w:pPr>
              <w:rPr>
                <w:bCs/>
              </w:rPr>
            </w:pPr>
          </w:p>
        </w:tc>
        <w:tc>
          <w:tcPr>
            <w:tcW w:w="1418" w:type="dxa"/>
            <w:tcBorders>
              <w:top w:val="single" w:sz="8" w:space="0" w:color="auto"/>
              <w:left w:val="nil"/>
              <w:bottom w:val="nil"/>
              <w:right w:val="single" w:sz="8" w:space="0" w:color="auto"/>
            </w:tcBorders>
            <w:vAlign w:val="center"/>
          </w:tcPr>
          <w:p w:rsidR="009B6EFE" w:rsidRDefault="009B6EFE" w:rsidP="0094250E">
            <w:pPr>
              <w:rPr>
                <w:bCs/>
              </w:rPr>
            </w:pPr>
          </w:p>
        </w:tc>
        <w:tc>
          <w:tcPr>
            <w:tcW w:w="1418" w:type="dxa"/>
            <w:tcBorders>
              <w:top w:val="single" w:sz="8" w:space="0" w:color="auto"/>
              <w:left w:val="nil"/>
              <w:bottom w:val="nil"/>
              <w:right w:val="single" w:sz="8" w:space="0" w:color="auto"/>
            </w:tcBorders>
          </w:tcPr>
          <w:p w:rsidR="009B6EFE" w:rsidRDefault="009B6EFE" w:rsidP="0094250E">
            <w:pPr>
              <w:rPr>
                <w:bCs/>
              </w:rPr>
            </w:pPr>
          </w:p>
        </w:tc>
      </w:tr>
      <w:tr w:rsidR="009B6EFE" w:rsidRPr="007F4045" w:rsidTr="00063A62">
        <w:trPr>
          <w:trHeight w:val="12"/>
        </w:trPr>
        <w:tc>
          <w:tcPr>
            <w:tcW w:w="3425" w:type="dxa"/>
            <w:vMerge/>
            <w:tcBorders>
              <w:top w:val="single" w:sz="8" w:space="0" w:color="auto"/>
              <w:left w:val="single" w:sz="8" w:space="0" w:color="auto"/>
              <w:bottom w:val="nil"/>
              <w:right w:val="single" w:sz="8" w:space="0" w:color="auto"/>
            </w:tcBorders>
            <w:vAlign w:val="center"/>
            <w:hideMark/>
          </w:tcPr>
          <w:p w:rsidR="009B6EFE" w:rsidRPr="007F4045" w:rsidRDefault="009B6EFE" w:rsidP="007F4045">
            <w:pPr>
              <w:pStyle w:val="ListParagraph"/>
              <w:ind w:left="567"/>
              <w:rPr>
                <w:bCs/>
              </w:rPr>
            </w:pPr>
          </w:p>
        </w:tc>
        <w:tc>
          <w:tcPr>
            <w:tcW w:w="1843" w:type="dxa"/>
            <w:tcBorders>
              <w:top w:val="nil"/>
              <w:left w:val="nil"/>
              <w:bottom w:val="single" w:sz="8" w:space="0" w:color="auto"/>
              <w:right w:val="single" w:sz="8" w:space="0" w:color="auto"/>
            </w:tcBorders>
            <w:shd w:val="clear" w:color="auto" w:fill="auto"/>
            <w:vAlign w:val="center"/>
          </w:tcPr>
          <w:p w:rsidR="007D7CAD" w:rsidRDefault="00255827" w:rsidP="008C337C">
            <w:pPr>
              <w:rPr>
                <w:rFonts w:cs="Arial"/>
              </w:rPr>
            </w:pPr>
            <w:r>
              <w:rPr>
                <w:rFonts w:cs="Arial"/>
              </w:rPr>
              <w:t xml:space="preserve">  </w:t>
            </w:r>
          </w:p>
          <w:p w:rsidR="007D7CAD" w:rsidRDefault="007D7CAD" w:rsidP="008C337C">
            <w:pPr>
              <w:rPr>
                <w:rFonts w:cs="Arial"/>
              </w:rPr>
            </w:pPr>
          </w:p>
          <w:p w:rsidR="00E534B8" w:rsidRDefault="00255827" w:rsidP="008C337C">
            <w:pPr>
              <w:rPr>
                <w:rFonts w:cs="Arial"/>
              </w:rPr>
            </w:pPr>
            <w:r>
              <w:rPr>
                <w:rFonts w:cs="Arial"/>
              </w:rPr>
              <w:t xml:space="preserve">  </w:t>
            </w:r>
            <w:r w:rsidR="00E534B8" w:rsidRPr="00760154">
              <w:rPr>
                <w:rFonts w:cs="Arial"/>
              </w:rPr>
              <w:t xml:space="preserve">Quarter </w:t>
            </w:r>
            <w:r w:rsidR="00D45C65">
              <w:rPr>
                <w:rFonts w:cs="Arial"/>
              </w:rPr>
              <w:t>2</w:t>
            </w:r>
          </w:p>
          <w:p w:rsidR="00E534B8" w:rsidRPr="00760154" w:rsidRDefault="00E534B8" w:rsidP="00E534B8">
            <w:pPr>
              <w:jc w:val="center"/>
              <w:rPr>
                <w:rFonts w:cs="Arial"/>
              </w:rPr>
            </w:pPr>
            <w:r>
              <w:rPr>
                <w:rFonts w:cs="Arial"/>
              </w:rPr>
              <w:t>Variance</w:t>
            </w:r>
          </w:p>
          <w:p w:rsidR="009B6EFE" w:rsidRPr="0094250E" w:rsidRDefault="00E534B8" w:rsidP="00E534B8">
            <w:pPr>
              <w:rPr>
                <w:bCs/>
              </w:rPr>
            </w:pPr>
            <w:r>
              <w:rPr>
                <w:rFonts w:cs="Arial"/>
              </w:rPr>
              <w:t xml:space="preserve">    </w:t>
            </w:r>
            <w:r w:rsidRPr="00760154">
              <w:rPr>
                <w:rFonts w:cs="Arial"/>
              </w:rPr>
              <w:t>£’000</w:t>
            </w:r>
          </w:p>
        </w:tc>
        <w:tc>
          <w:tcPr>
            <w:tcW w:w="1418" w:type="dxa"/>
            <w:tcBorders>
              <w:top w:val="nil"/>
              <w:left w:val="nil"/>
              <w:bottom w:val="single" w:sz="8" w:space="0" w:color="auto"/>
              <w:right w:val="single" w:sz="8" w:space="0" w:color="auto"/>
            </w:tcBorders>
            <w:vAlign w:val="center"/>
          </w:tcPr>
          <w:p w:rsidR="007D7CAD" w:rsidRDefault="007D7CAD" w:rsidP="00E534B8">
            <w:pPr>
              <w:jc w:val="center"/>
              <w:rPr>
                <w:rFonts w:cs="Arial"/>
              </w:rPr>
            </w:pPr>
          </w:p>
          <w:p w:rsidR="007D7CAD" w:rsidRDefault="007D7CAD" w:rsidP="00E534B8">
            <w:pPr>
              <w:jc w:val="center"/>
              <w:rPr>
                <w:rFonts w:cs="Arial"/>
              </w:rPr>
            </w:pPr>
          </w:p>
          <w:p w:rsidR="00E534B8" w:rsidRDefault="00D45C65" w:rsidP="00E534B8">
            <w:pPr>
              <w:jc w:val="center"/>
              <w:rPr>
                <w:rFonts w:cs="Arial"/>
              </w:rPr>
            </w:pPr>
            <w:r>
              <w:rPr>
                <w:rFonts w:cs="Arial"/>
              </w:rPr>
              <w:t xml:space="preserve">Quarter 1 </w:t>
            </w:r>
          </w:p>
          <w:p w:rsidR="00E534B8" w:rsidRPr="00760154" w:rsidRDefault="00E534B8" w:rsidP="00E534B8">
            <w:pPr>
              <w:jc w:val="center"/>
              <w:rPr>
                <w:rFonts w:cs="Arial"/>
              </w:rPr>
            </w:pPr>
            <w:r>
              <w:rPr>
                <w:rFonts w:cs="Arial"/>
              </w:rPr>
              <w:t>Variance</w:t>
            </w:r>
          </w:p>
          <w:p w:rsidR="009B6EFE" w:rsidRDefault="00E534B8" w:rsidP="00E534B8">
            <w:pPr>
              <w:rPr>
                <w:bCs/>
              </w:rPr>
            </w:pPr>
            <w:r>
              <w:rPr>
                <w:rFonts w:cs="Arial"/>
              </w:rPr>
              <w:t xml:space="preserve">     </w:t>
            </w:r>
            <w:r w:rsidRPr="00760154">
              <w:rPr>
                <w:rFonts w:cs="Arial"/>
              </w:rPr>
              <w:t>£’000</w:t>
            </w:r>
          </w:p>
        </w:tc>
        <w:tc>
          <w:tcPr>
            <w:tcW w:w="1418" w:type="dxa"/>
            <w:tcBorders>
              <w:top w:val="nil"/>
              <w:left w:val="nil"/>
              <w:bottom w:val="single" w:sz="8" w:space="0" w:color="auto"/>
              <w:right w:val="single" w:sz="8" w:space="0" w:color="auto"/>
            </w:tcBorders>
          </w:tcPr>
          <w:p w:rsidR="00E534B8" w:rsidRDefault="00E534B8" w:rsidP="00E534B8">
            <w:pPr>
              <w:jc w:val="center"/>
              <w:rPr>
                <w:rFonts w:cs="Arial"/>
              </w:rPr>
            </w:pPr>
            <w:r w:rsidRPr="00E534B8">
              <w:rPr>
                <w:rFonts w:cs="Arial"/>
              </w:rPr>
              <w:t xml:space="preserve">Movement between Quarter </w:t>
            </w:r>
            <w:r w:rsidR="001F7015">
              <w:rPr>
                <w:rFonts w:cs="Arial"/>
              </w:rPr>
              <w:t>1</w:t>
            </w:r>
            <w:r w:rsidRPr="00E534B8">
              <w:rPr>
                <w:rFonts w:cs="Arial"/>
              </w:rPr>
              <w:t xml:space="preserve"> and </w:t>
            </w:r>
            <w:r w:rsidR="00706829">
              <w:rPr>
                <w:rFonts w:cs="Arial"/>
              </w:rPr>
              <w:t>Quarter</w:t>
            </w:r>
            <w:r w:rsidRPr="00E534B8">
              <w:rPr>
                <w:rFonts w:cs="Arial"/>
              </w:rPr>
              <w:t xml:space="preserve"> </w:t>
            </w:r>
            <w:r w:rsidR="001F7015">
              <w:rPr>
                <w:rFonts w:cs="Arial"/>
              </w:rPr>
              <w:t>2</w:t>
            </w:r>
            <w:r>
              <w:rPr>
                <w:rFonts w:cs="Arial"/>
              </w:rPr>
              <w:t xml:space="preserve"> </w:t>
            </w:r>
            <w:r w:rsidR="00706829">
              <w:rPr>
                <w:rFonts w:cs="Arial"/>
              </w:rPr>
              <w:t>Variance</w:t>
            </w:r>
          </w:p>
          <w:p w:rsidR="009B6EFE" w:rsidRDefault="00255827" w:rsidP="00E534B8">
            <w:pPr>
              <w:rPr>
                <w:bCs/>
              </w:rPr>
            </w:pPr>
            <w:r>
              <w:rPr>
                <w:rFonts w:cs="Arial"/>
              </w:rPr>
              <w:t xml:space="preserve">          </w:t>
            </w:r>
            <w:r w:rsidR="00E534B8">
              <w:rPr>
                <w:rFonts w:cs="Arial"/>
              </w:rPr>
              <w:t>£’000</w:t>
            </w:r>
          </w:p>
        </w:tc>
      </w:tr>
      <w:tr w:rsidR="009B6EFE" w:rsidRPr="007F4045" w:rsidTr="00063A62">
        <w:trPr>
          <w:trHeight w:val="250"/>
        </w:trPr>
        <w:tc>
          <w:tcPr>
            <w:tcW w:w="3425" w:type="dxa"/>
            <w:tcBorders>
              <w:top w:val="nil"/>
              <w:left w:val="single" w:sz="8" w:space="0" w:color="auto"/>
              <w:bottom w:val="single" w:sz="8" w:space="0" w:color="auto"/>
              <w:right w:val="single" w:sz="8" w:space="0" w:color="auto"/>
            </w:tcBorders>
            <w:shd w:val="clear" w:color="auto" w:fill="auto"/>
            <w:vAlign w:val="center"/>
            <w:hideMark/>
          </w:tcPr>
          <w:p w:rsidR="009B6EFE" w:rsidRPr="007F4045" w:rsidRDefault="009B6EFE" w:rsidP="007F4045">
            <w:pPr>
              <w:pStyle w:val="ListParagraph"/>
              <w:ind w:left="567"/>
              <w:rPr>
                <w:bCs/>
              </w:rPr>
            </w:pPr>
          </w:p>
        </w:tc>
        <w:tc>
          <w:tcPr>
            <w:tcW w:w="1843" w:type="dxa"/>
            <w:tcBorders>
              <w:top w:val="nil"/>
              <w:left w:val="nil"/>
              <w:bottom w:val="single" w:sz="8" w:space="0" w:color="auto"/>
              <w:right w:val="single" w:sz="8" w:space="0" w:color="auto"/>
            </w:tcBorders>
            <w:shd w:val="clear" w:color="auto" w:fill="auto"/>
            <w:vAlign w:val="center"/>
          </w:tcPr>
          <w:p w:rsidR="009B6EFE" w:rsidRPr="007F4045" w:rsidRDefault="009B6EFE" w:rsidP="007F4045">
            <w:pPr>
              <w:pStyle w:val="ListParagraph"/>
              <w:ind w:left="567"/>
              <w:rPr>
                <w:bCs/>
              </w:rPr>
            </w:pPr>
          </w:p>
        </w:tc>
        <w:tc>
          <w:tcPr>
            <w:tcW w:w="1418" w:type="dxa"/>
            <w:tcBorders>
              <w:top w:val="nil"/>
              <w:left w:val="nil"/>
              <w:bottom w:val="single" w:sz="8" w:space="0" w:color="auto"/>
              <w:right w:val="single" w:sz="8" w:space="0" w:color="auto"/>
            </w:tcBorders>
          </w:tcPr>
          <w:p w:rsidR="009B6EFE" w:rsidRPr="007F4045" w:rsidRDefault="009B6EFE" w:rsidP="007F4045">
            <w:pPr>
              <w:pStyle w:val="ListParagraph"/>
              <w:ind w:left="567"/>
              <w:rPr>
                <w:bCs/>
              </w:rPr>
            </w:pPr>
          </w:p>
        </w:tc>
        <w:tc>
          <w:tcPr>
            <w:tcW w:w="1418" w:type="dxa"/>
            <w:tcBorders>
              <w:top w:val="nil"/>
              <w:left w:val="nil"/>
              <w:bottom w:val="single" w:sz="8" w:space="0" w:color="auto"/>
              <w:right w:val="single" w:sz="8" w:space="0" w:color="auto"/>
            </w:tcBorders>
          </w:tcPr>
          <w:p w:rsidR="009B6EFE" w:rsidRPr="007F4045" w:rsidRDefault="009B6EFE" w:rsidP="007F4045">
            <w:pPr>
              <w:pStyle w:val="ListParagraph"/>
              <w:ind w:left="567"/>
              <w:rPr>
                <w:bCs/>
              </w:rPr>
            </w:pPr>
          </w:p>
        </w:tc>
      </w:tr>
      <w:tr w:rsidR="009B6EFE" w:rsidRPr="007F4045" w:rsidTr="00063A62">
        <w:trPr>
          <w:trHeight w:val="93"/>
        </w:trPr>
        <w:tc>
          <w:tcPr>
            <w:tcW w:w="3425" w:type="dxa"/>
            <w:tcBorders>
              <w:top w:val="nil"/>
              <w:left w:val="single" w:sz="8" w:space="0" w:color="auto"/>
              <w:bottom w:val="single" w:sz="8" w:space="0" w:color="auto"/>
              <w:right w:val="single" w:sz="8" w:space="0" w:color="auto"/>
            </w:tcBorders>
            <w:shd w:val="clear" w:color="auto" w:fill="auto"/>
            <w:vAlign w:val="center"/>
            <w:hideMark/>
          </w:tcPr>
          <w:p w:rsidR="009B6EFE" w:rsidRPr="00C523F9" w:rsidRDefault="009B6EFE" w:rsidP="008C337C">
            <w:pPr>
              <w:rPr>
                <w:bCs/>
              </w:rPr>
            </w:pPr>
            <w:r w:rsidRPr="003D5622">
              <w:rPr>
                <w:bCs/>
              </w:rPr>
              <w:t>Commissioning and Commercial</w:t>
            </w:r>
          </w:p>
        </w:tc>
        <w:tc>
          <w:tcPr>
            <w:tcW w:w="1843" w:type="dxa"/>
            <w:tcBorders>
              <w:top w:val="nil"/>
              <w:left w:val="nil"/>
              <w:bottom w:val="single" w:sz="8" w:space="0" w:color="auto"/>
              <w:right w:val="single" w:sz="8" w:space="0" w:color="auto"/>
            </w:tcBorders>
            <w:shd w:val="clear" w:color="auto" w:fill="auto"/>
            <w:vAlign w:val="center"/>
            <w:hideMark/>
          </w:tcPr>
          <w:p w:rsidR="009B6EFE" w:rsidRPr="00646DA7" w:rsidRDefault="009B6EFE" w:rsidP="0094250E">
            <w:pPr>
              <w:rPr>
                <w:bCs/>
              </w:rPr>
            </w:pPr>
            <w:r>
              <w:rPr>
                <w:bCs/>
              </w:rPr>
              <w:t xml:space="preserve">         -</w:t>
            </w:r>
          </w:p>
        </w:tc>
        <w:tc>
          <w:tcPr>
            <w:tcW w:w="1418" w:type="dxa"/>
            <w:tcBorders>
              <w:top w:val="nil"/>
              <w:left w:val="nil"/>
              <w:bottom w:val="single" w:sz="8" w:space="0" w:color="auto"/>
              <w:right w:val="single" w:sz="8" w:space="0" w:color="auto"/>
            </w:tcBorders>
          </w:tcPr>
          <w:p w:rsidR="009B6EFE" w:rsidRDefault="00A152CE" w:rsidP="00063A62">
            <w:pPr>
              <w:rPr>
                <w:bCs/>
              </w:rPr>
            </w:pPr>
            <w:r>
              <w:rPr>
                <w:bCs/>
              </w:rPr>
              <w:t xml:space="preserve">     </w:t>
            </w:r>
          </w:p>
        </w:tc>
        <w:tc>
          <w:tcPr>
            <w:tcW w:w="1418" w:type="dxa"/>
            <w:tcBorders>
              <w:top w:val="nil"/>
              <w:left w:val="nil"/>
              <w:bottom w:val="single" w:sz="8" w:space="0" w:color="auto"/>
              <w:right w:val="single" w:sz="8" w:space="0" w:color="auto"/>
            </w:tcBorders>
          </w:tcPr>
          <w:p w:rsidR="009B6EFE" w:rsidRDefault="00915626">
            <w:pPr>
              <w:rPr>
                <w:bCs/>
              </w:rPr>
            </w:pPr>
            <w:r>
              <w:rPr>
                <w:bCs/>
              </w:rPr>
              <w:br/>
            </w:r>
            <w:r w:rsidR="00A152CE">
              <w:rPr>
                <w:bCs/>
              </w:rPr>
              <w:t xml:space="preserve">         -</w:t>
            </w:r>
          </w:p>
        </w:tc>
      </w:tr>
      <w:tr w:rsidR="009B6EFE" w:rsidRPr="007F4045" w:rsidTr="00063A62">
        <w:trPr>
          <w:trHeight w:val="93"/>
        </w:trPr>
        <w:tc>
          <w:tcPr>
            <w:tcW w:w="3425" w:type="dxa"/>
            <w:tcBorders>
              <w:top w:val="nil"/>
              <w:left w:val="single" w:sz="8" w:space="0" w:color="auto"/>
              <w:bottom w:val="single" w:sz="8" w:space="0" w:color="auto"/>
              <w:right w:val="single" w:sz="8" w:space="0" w:color="auto"/>
            </w:tcBorders>
            <w:shd w:val="clear" w:color="auto" w:fill="auto"/>
            <w:vAlign w:val="center"/>
          </w:tcPr>
          <w:p w:rsidR="009B6EFE" w:rsidRPr="00C523F9" w:rsidRDefault="009B6EFE" w:rsidP="008C337C">
            <w:pPr>
              <w:rPr>
                <w:bCs/>
              </w:rPr>
            </w:pPr>
            <w:r w:rsidRPr="003D5622">
              <w:rPr>
                <w:bCs/>
              </w:rPr>
              <w:t>Environment and Culture</w:t>
            </w:r>
          </w:p>
        </w:tc>
        <w:tc>
          <w:tcPr>
            <w:tcW w:w="1843" w:type="dxa"/>
            <w:tcBorders>
              <w:top w:val="nil"/>
              <w:left w:val="nil"/>
              <w:bottom w:val="single" w:sz="8" w:space="0" w:color="auto"/>
              <w:right w:val="single" w:sz="8" w:space="0" w:color="auto"/>
            </w:tcBorders>
            <w:shd w:val="clear" w:color="auto" w:fill="auto"/>
            <w:vAlign w:val="center"/>
          </w:tcPr>
          <w:p w:rsidR="009B6EFE" w:rsidRPr="0094250E" w:rsidRDefault="009B6EFE" w:rsidP="0094250E">
            <w:pPr>
              <w:rPr>
                <w:bCs/>
              </w:rPr>
            </w:pPr>
            <w:r>
              <w:rPr>
                <w:bCs/>
              </w:rPr>
              <w:t xml:space="preserve">       </w:t>
            </w:r>
            <w:r w:rsidR="00084B17">
              <w:rPr>
                <w:bCs/>
              </w:rPr>
              <w:t>710</w:t>
            </w:r>
          </w:p>
        </w:tc>
        <w:tc>
          <w:tcPr>
            <w:tcW w:w="1418" w:type="dxa"/>
            <w:tcBorders>
              <w:top w:val="nil"/>
              <w:left w:val="nil"/>
              <w:bottom w:val="single" w:sz="8" w:space="0" w:color="auto"/>
              <w:right w:val="single" w:sz="8" w:space="0" w:color="auto"/>
            </w:tcBorders>
          </w:tcPr>
          <w:p w:rsidR="009B6EFE" w:rsidRDefault="00915626" w:rsidP="0094250E">
            <w:pPr>
              <w:rPr>
                <w:bCs/>
              </w:rPr>
            </w:pPr>
            <w:r>
              <w:rPr>
                <w:bCs/>
              </w:rPr>
              <w:t xml:space="preserve">     </w:t>
            </w:r>
            <w:r w:rsidR="00084B17">
              <w:rPr>
                <w:bCs/>
              </w:rPr>
              <w:t>267</w:t>
            </w:r>
          </w:p>
        </w:tc>
        <w:tc>
          <w:tcPr>
            <w:tcW w:w="1418" w:type="dxa"/>
            <w:tcBorders>
              <w:top w:val="nil"/>
              <w:left w:val="nil"/>
              <w:bottom w:val="single" w:sz="8" w:space="0" w:color="auto"/>
              <w:right w:val="single" w:sz="8" w:space="0" w:color="auto"/>
            </w:tcBorders>
          </w:tcPr>
          <w:p w:rsidR="009B6EFE" w:rsidRDefault="00915626" w:rsidP="0094250E">
            <w:pPr>
              <w:rPr>
                <w:bCs/>
              </w:rPr>
            </w:pPr>
            <w:r>
              <w:rPr>
                <w:bCs/>
              </w:rPr>
              <w:t xml:space="preserve">       </w:t>
            </w:r>
            <w:r w:rsidR="00084B17">
              <w:rPr>
                <w:bCs/>
              </w:rPr>
              <w:t>443</w:t>
            </w:r>
          </w:p>
        </w:tc>
      </w:tr>
      <w:tr w:rsidR="009B6EFE" w:rsidRPr="007F4045" w:rsidTr="00063A62">
        <w:trPr>
          <w:trHeight w:val="93"/>
        </w:trPr>
        <w:tc>
          <w:tcPr>
            <w:tcW w:w="3425" w:type="dxa"/>
            <w:tcBorders>
              <w:top w:val="nil"/>
              <w:left w:val="single" w:sz="8" w:space="0" w:color="auto"/>
              <w:bottom w:val="single" w:sz="8" w:space="0" w:color="auto"/>
              <w:right w:val="single" w:sz="8" w:space="0" w:color="auto"/>
            </w:tcBorders>
            <w:shd w:val="clear" w:color="auto" w:fill="auto"/>
            <w:vAlign w:val="center"/>
            <w:hideMark/>
          </w:tcPr>
          <w:p w:rsidR="009B6EFE" w:rsidRPr="00C523F9" w:rsidRDefault="009B6EFE" w:rsidP="008C337C">
            <w:pPr>
              <w:rPr>
                <w:bCs/>
              </w:rPr>
            </w:pPr>
            <w:r w:rsidRPr="003D5622">
              <w:rPr>
                <w:bCs/>
              </w:rPr>
              <w:t>Housing General Fund</w:t>
            </w:r>
          </w:p>
        </w:tc>
        <w:tc>
          <w:tcPr>
            <w:tcW w:w="1843" w:type="dxa"/>
            <w:tcBorders>
              <w:top w:val="nil"/>
              <w:left w:val="nil"/>
              <w:bottom w:val="single" w:sz="8" w:space="0" w:color="auto"/>
              <w:right w:val="single" w:sz="8" w:space="0" w:color="auto"/>
            </w:tcBorders>
            <w:shd w:val="clear" w:color="auto" w:fill="auto"/>
            <w:vAlign w:val="center"/>
            <w:hideMark/>
          </w:tcPr>
          <w:p w:rsidR="009B6EFE" w:rsidRPr="007F4045" w:rsidRDefault="009B6EFE" w:rsidP="007F4045">
            <w:pPr>
              <w:pStyle w:val="ListParagraph"/>
              <w:ind w:left="567"/>
              <w:rPr>
                <w:bCs/>
              </w:rPr>
            </w:pPr>
            <w:r w:rsidRPr="007F4045">
              <w:rPr>
                <w:bCs/>
              </w:rPr>
              <w:t xml:space="preserve"> </w:t>
            </w:r>
            <w:r>
              <w:rPr>
                <w:bCs/>
              </w:rPr>
              <w:t>-</w:t>
            </w:r>
          </w:p>
        </w:tc>
        <w:tc>
          <w:tcPr>
            <w:tcW w:w="1418" w:type="dxa"/>
            <w:tcBorders>
              <w:top w:val="nil"/>
              <w:left w:val="nil"/>
              <w:bottom w:val="single" w:sz="8" w:space="0" w:color="auto"/>
              <w:right w:val="single" w:sz="8" w:space="0" w:color="auto"/>
            </w:tcBorders>
          </w:tcPr>
          <w:p w:rsidR="009B6EFE" w:rsidRPr="007F4045" w:rsidRDefault="00915626" w:rsidP="007F4045">
            <w:pPr>
              <w:pStyle w:val="ListParagraph"/>
              <w:ind w:left="567"/>
              <w:rPr>
                <w:bCs/>
              </w:rPr>
            </w:pPr>
            <w:r>
              <w:rPr>
                <w:bCs/>
              </w:rPr>
              <w:t>-</w:t>
            </w:r>
          </w:p>
        </w:tc>
        <w:tc>
          <w:tcPr>
            <w:tcW w:w="1418" w:type="dxa"/>
            <w:tcBorders>
              <w:top w:val="nil"/>
              <w:left w:val="nil"/>
              <w:bottom w:val="single" w:sz="8" w:space="0" w:color="auto"/>
              <w:right w:val="single" w:sz="8" w:space="0" w:color="auto"/>
            </w:tcBorders>
          </w:tcPr>
          <w:p w:rsidR="009B6EFE" w:rsidRPr="007F4045" w:rsidRDefault="00915626" w:rsidP="007F4045">
            <w:pPr>
              <w:pStyle w:val="ListParagraph"/>
              <w:ind w:left="567"/>
              <w:rPr>
                <w:bCs/>
              </w:rPr>
            </w:pPr>
            <w:r>
              <w:rPr>
                <w:bCs/>
              </w:rPr>
              <w:t>-</w:t>
            </w:r>
          </w:p>
        </w:tc>
      </w:tr>
      <w:tr w:rsidR="009B6EFE" w:rsidRPr="007F4045" w:rsidTr="00063A62">
        <w:trPr>
          <w:trHeight w:val="646"/>
        </w:trPr>
        <w:tc>
          <w:tcPr>
            <w:tcW w:w="3425" w:type="dxa"/>
            <w:tcBorders>
              <w:top w:val="nil"/>
              <w:left w:val="single" w:sz="8" w:space="0" w:color="auto"/>
              <w:bottom w:val="single" w:sz="8" w:space="0" w:color="auto"/>
              <w:right w:val="single" w:sz="8" w:space="0" w:color="auto"/>
            </w:tcBorders>
            <w:shd w:val="clear" w:color="auto" w:fill="auto"/>
            <w:vAlign w:val="center"/>
          </w:tcPr>
          <w:p w:rsidR="009B6EFE" w:rsidRPr="00C523F9" w:rsidRDefault="009B6EFE" w:rsidP="008C337C">
            <w:pPr>
              <w:rPr>
                <w:bCs/>
              </w:rPr>
            </w:pPr>
            <w:r w:rsidRPr="003D5622">
              <w:rPr>
                <w:bCs/>
              </w:rPr>
              <w:t>Regeneration, Enterprise and Planning</w:t>
            </w:r>
          </w:p>
        </w:tc>
        <w:tc>
          <w:tcPr>
            <w:tcW w:w="1843" w:type="dxa"/>
            <w:tcBorders>
              <w:top w:val="nil"/>
              <w:left w:val="nil"/>
              <w:bottom w:val="single" w:sz="8" w:space="0" w:color="auto"/>
              <w:right w:val="single" w:sz="8" w:space="0" w:color="auto"/>
            </w:tcBorders>
            <w:shd w:val="clear" w:color="auto" w:fill="auto"/>
            <w:vAlign w:val="center"/>
          </w:tcPr>
          <w:p w:rsidR="009B6EFE" w:rsidRPr="007F4045" w:rsidRDefault="009B6EFE" w:rsidP="007F4045">
            <w:pPr>
              <w:pStyle w:val="ListParagraph"/>
              <w:ind w:left="567"/>
              <w:rPr>
                <w:bCs/>
              </w:rPr>
            </w:pPr>
            <w:r>
              <w:rPr>
                <w:bCs/>
              </w:rPr>
              <w:t xml:space="preserve"> -</w:t>
            </w:r>
          </w:p>
        </w:tc>
        <w:tc>
          <w:tcPr>
            <w:tcW w:w="1418" w:type="dxa"/>
            <w:tcBorders>
              <w:top w:val="nil"/>
              <w:left w:val="nil"/>
              <w:bottom w:val="single" w:sz="8" w:space="0" w:color="auto"/>
              <w:right w:val="single" w:sz="8" w:space="0" w:color="auto"/>
            </w:tcBorders>
          </w:tcPr>
          <w:p w:rsidR="009B6EFE" w:rsidRDefault="00915626" w:rsidP="007F4045">
            <w:pPr>
              <w:pStyle w:val="ListParagraph"/>
              <w:ind w:left="567"/>
              <w:rPr>
                <w:bCs/>
              </w:rPr>
            </w:pPr>
            <w:r>
              <w:rPr>
                <w:bCs/>
              </w:rPr>
              <w:t>-</w:t>
            </w:r>
          </w:p>
        </w:tc>
        <w:tc>
          <w:tcPr>
            <w:tcW w:w="1418" w:type="dxa"/>
            <w:tcBorders>
              <w:top w:val="nil"/>
              <w:left w:val="nil"/>
              <w:bottom w:val="single" w:sz="8" w:space="0" w:color="auto"/>
              <w:right w:val="single" w:sz="8" w:space="0" w:color="auto"/>
            </w:tcBorders>
          </w:tcPr>
          <w:p w:rsidR="009B6EFE" w:rsidRDefault="00915626" w:rsidP="007F4045">
            <w:pPr>
              <w:pStyle w:val="ListParagraph"/>
              <w:ind w:left="567"/>
              <w:rPr>
                <w:bCs/>
              </w:rPr>
            </w:pPr>
            <w:r>
              <w:rPr>
                <w:bCs/>
              </w:rPr>
              <w:t>-</w:t>
            </w:r>
          </w:p>
        </w:tc>
      </w:tr>
      <w:tr w:rsidR="009B6EFE" w:rsidRPr="007F4045" w:rsidTr="00063A62">
        <w:trPr>
          <w:trHeight w:val="93"/>
        </w:trPr>
        <w:tc>
          <w:tcPr>
            <w:tcW w:w="3425" w:type="dxa"/>
            <w:tcBorders>
              <w:top w:val="nil"/>
              <w:left w:val="single" w:sz="8" w:space="0" w:color="auto"/>
              <w:bottom w:val="nil"/>
              <w:right w:val="single" w:sz="8" w:space="0" w:color="auto"/>
            </w:tcBorders>
            <w:shd w:val="clear" w:color="auto" w:fill="auto"/>
            <w:vAlign w:val="center"/>
          </w:tcPr>
          <w:p w:rsidR="009B6EFE" w:rsidRPr="008C337C" w:rsidRDefault="009B6EFE" w:rsidP="008C337C">
            <w:pPr>
              <w:rPr>
                <w:b/>
                <w:bCs/>
              </w:rPr>
            </w:pPr>
            <w:r w:rsidRPr="008C337C">
              <w:rPr>
                <w:b/>
                <w:bCs/>
              </w:rPr>
              <w:t>Total</w:t>
            </w:r>
          </w:p>
        </w:tc>
        <w:tc>
          <w:tcPr>
            <w:tcW w:w="1843" w:type="dxa"/>
            <w:tcBorders>
              <w:top w:val="nil"/>
              <w:left w:val="nil"/>
              <w:bottom w:val="nil"/>
              <w:right w:val="single" w:sz="8" w:space="0" w:color="auto"/>
            </w:tcBorders>
            <w:shd w:val="clear" w:color="auto" w:fill="auto"/>
            <w:vAlign w:val="center"/>
          </w:tcPr>
          <w:p w:rsidR="009B6EFE" w:rsidRPr="00BC03D5" w:rsidRDefault="009B6EFE" w:rsidP="0094250E">
            <w:pPr>
              <w:rPr>
                <w:b/>
                <w:bCs/>
              </w:rPr>
            </w:pPr>
            <w:r w:rsidRPr="00915626">
              <w:rPr>
                <w:b/>
                <w:bCs/>
              </w:rPr>
              <w:t xml:space="preserve">       </w:t>
            </w:r>
            <w:r w:rsidR="00084B17">
              <w:rPr>
                <w:b/>
                <w:bCs/>
              </w:rPr>
              <w:t>710</w:t>
            </w:r>
          </w:p>
        </w:tc>
        <w:tc>
          <w:tcPr>
            <w:tcW w:w="1418" w:type="dxa"/>
            <w:tcBorders>
              <w:top w:val="nil"/>
              <w:left w:val="nil"/>
              <w:bottom w:val="nil"/>
              <w:right w:val="single" w:sz="8" w:space="0" w:color="auto"/>
            </w:tcBorders>
          </w:tcPr>
          <w:p w:rsidR="009B6EFE" w:rsidRPr="00915626" w:rsidRDefault="00915626" w:rsidP="0094250E">
            <w:pPr>
              <w:rPr>
                <w:b/>
                <w:bCs/>
              </w:rPr>
            </w:pPr>
            <w:r>
              <w:rPr>
                <w:b/>
                <w:bCs/>
              </w:rPr>
              <w:t xml:space="preserve">    </w:t>
            </w:r>
            <w:r w:rsidR="00084B17">
              <w:rPr>
                <w:b/>
                <w:bCs/>
              </w:rPr>
              <w:t>267</w:t>
            </w:r>
          </w:p>
        </w:tc>
        <w:tc>
          <w:tcPr>
            <w:tcW w:w="1418" w:type="dxa"/>
            <w:tcBorders>
              <w:top w:val="nil"/>
              <w:left w:val="nil"/>
              <w:bottom w:val="nil"/>
              <w:right w:val="single" w:sz="8" w:space="0" w:color="auto"/>
            </w:tcBorders>
          </w:tcPr>
          <w:p w:rsidR="009B6EFE" w:rsidRPr="00915626" w:rsidRDefault="00915626" w:rsidP="0094250E">
            <w:pPr>
              <w:rPr>
                <w:b/>
                <w:bCs/>
              </w:rPr>
            </w:pPr>
            <w:r>
              <w:rPr>
                <w:b/>
                <w:bCs/>
              </w:rPr>
              <w:t xml:space="preserve">   </w:t>
            </w:r>
            <w:r w:rsidR="00A152CE">
              <w:rPr>
                <w:b/>
                <w:bCs/>
              </w:rPr>
              <w:t xml:space="preserve">  </w:t>
            </w:r>
            <w:r>
              <w:rPr>
                <w:b/>
                <w:bCs/>
              </w:rPr>
              <w:t xml:space="preserve">  </w:t>
            </w:r>
            <w:r w:rsidR="00084B17">
              <w:rPr>
                <w:b/>
                <w:bCs/>
              </w:rPr>
              <w:t>443</w:t>
            </w:r>
          </w:p>
        </w:tc>
      </w:tr>
      <w:tr w:rsidR="009B6EFE" w:rsidRPr="007F4045" w:rsidTr="008C337C">
        <w:trPr>
          <w:trHeight w:val="71"/>
        </w:trPr>
        <w:tc>
          <w:tcPr>
            <w:tcW w:w="3425" w:type="dxa"/>
            <w:tcBorders>
              <w:top w:val="nil"/>
              <w:left w:val="single" w:sz="8" w:space="0" w:color="auto"/>
              <w:bottom w:val="single" w:sz="8" w:space="0" w:color="auto"/>
              <w:right w:val="single" w:sz="8" w:space="0" w:color="auto"/>
            </w:tcBorders>
            <w:shd w:val="clear" w:color="auto" w:fill="auto"/>
            <w:vAlign w:val="center"/>
            <w:hideMark/>
          </w:tcPr>
          <w:p w:rsidR="009B6EFE" w:rsidRPr="007F4045" w:rsidRDefault="009B6EFE">
            <w:pPr>
              <w:pStyle w:val="ListParagraph"/>
              <w:ind w:left="567"/>
              <w:rPr>
                <w:b/>
                <w:bCs/>
              </w:rPr>
            </w:pPr>
          </w:p>
        </w:tc>
        <w:tc>
          <w:tcPr>
            <w:tcW w:w="1843" w:type="dxa"/>
            <w:tcBorders>
              <w:top w:val="nil"/>
              <w:left w:val="nil"/>
              <w:bottom w:val="single" w:sz="8" w:space="0" w:color="auto"/>
              <w:right w:val="single" w:sz="8" w:space="0" w:color="auto"/>
            </w:tcBorders>
            <w:shd w:val="clear" w:color="auto" w:fill="auto"/>
            <w:vAlign w:val="center"/>
            <w:hideMark/>
          </w:tcPr>
          <w:p w:rsidR="009B6EFE" w:rsidRPr="007F4045" w:rsidRDefault="009B6EFE" w:rsidP="007F4045">
            <w:pPr>
              <w:pStyle w:val="ListParagraph"/>
              <w:ind w:left="567"/>
              <w:rPr>
                <w:b/>
                <w:bCs/>
              </w:rPr>
            </w:pPr>
          </w:p>
        </w:tc>
        <w:tc>
          <w:tcPr>
            <w:tcW w:w="1418" w:type="dxa"/>
            <w:tcBorders>
              <w:top w:val="nil"/>
              <w:left w:val="nil"/>
              <w:bottom w:val="single" w:sz="8" w:space="0" w:color="auto"/>
              <w:right w:val="single" w:sz="8" w:space="0" w:color="auto"/>
            </w:tcBorders>
          </w:tcPr>
          <w:p w:rsidR="009B6EFE" w:rsidRPr="007F4045" w:rsidRDefault="009B6EFE" w:rsidP="007F4045">
            <w:pPr>
              <w:pStyle w:val="ListParagraph"/>
              <w:ind w:left="567"/>
              <w:rPr>
                <w:b/>
                <w:bCs/>
              </w:rPr>
            </w:pPr>
          </w:p>
        </w:tc>
        <w:tc>
          <w:tcPr>
            <w:tcW w:w="1418" w:type="dxa"/>
            <w:tcBorders>
              <w:top w:val="nil"/>
              <w:left w:val="nil"/>
              <w:bottom w:val="single" w:sz="8" w:space="0" w:color="auto"/>
              <w:right w:val="single" w:sz="8" w:space="0" w:color="auto"/>
            </w:tcBorders>
          </w:tcPr>
          <w:p w:rsidR="009B6EFE" w:rsidRPr="007F4045" w:rsidRDefault="009B6EFE" w:rsidP="007F4045">
            <w:pPr>
              <w:pStyle w:val="ListParagraph"/>
              <w:ind w:left="567"/>
              <w:rPr>
                <w:b/>
                <w:bCs/>
              </w:rPr>
            </w:pPr>
          </w:p>
        </w:tc>
      </w:tr>
    </w:tbl>
    <w:p w:rsidR="00C40043" w:rsidRPr="008C337C" w:rsidRDefault="00C40043" w:rsidP="008C337C">
      <w:pPr>
        <w:jc w:val="both"/>
        <w:rPr>
          <w:rFonts w:cs="Arial"/>
        </w:rPr>
      </w:pPr>
    </w:p>
    <w:p w:rsidR="007F4045" w:rsidRPr="008C337C" w:rsidRDefault="00F17F84" w:rsidP="008C337C">
      <w:pPr>
        <w:pStyle w:val="ListParagraph"/>
        <w:numPr>
          <w:ilvl w:val="0"/>
          <w:numId w:val="173"/>
        </w:numPr>
        <w:ind w:left="567" w:hanging="567"/>
        <w:jc w:val="both"/>
        <w:rPr>
          <w:bCs/>
          <w:lang w:val="en-US"/>
        </w:rPr>
      </w:pPr>
      <w:r w:rsidRPr="008C337C">
        <w:rPr>
          <w:bCs/>
          <w:lang w:val="en-US"/>
        </w:rPr>
        <w:t>The movement from Q1 to Q2 of £0.</w:t>
      </w:r>
      <w:r w:rsidR="00084B17">
        <w:rPr>
          <w:bCs/>
          <w:lang w:val="en-US"/>
        </w:rPr>
        <w:t>443</w:t>
      </w:r>
      <w:r w:rsidRPr="008C337C">
        <w:rPr>
          <w:bCs/>
          <w:lang w:val="en-US"/>
        </w:rPr>
        <w:t>m i</w:t>
      </w:r>
      <w:r w:rsidR="00454B6E">
        <w:rPr>
          <w:bCs/>
          <w:lang w:val="en-US"/>
        </w:rPr>
        <w:t>s a net effect of the following;</w:t>
      </w:r>
      <w:r w:rsidRPr="008C337C">
        <w:rPr>
          <w:bCs/>
          <w:lang w:val="en-US"/>
        </w:rPr>
        <w:t xml:space="preserve"> </w:t>
      </w:r>
    </w:p>
    <w:p w:rsidR="00876F99" w:rsidRPr="00646DA7" w:rsidRDefault="00876F99" w:rsidP="0094250E">
      <w:pPr>
        <w:jc w:val="both"/>
        <w:rPr>
          <w:rFonts w:cs="Arial"/>
        </w:rPr>
      </w:pPr>
    </w:p>
    <w:p w:rsidR="00F17F84" w:rsidRPr="008C337C" w:rsidRDefault="00F17F84" w:rsidP="008C337C">
      <w:pPr>
        <w:pStyle w:val="ListParagraph"/>
        <w:numPr>
          <w:ilvl w:val="0"/>
          <w:numId w:val="173"/>
        </w:numPr>
        <w:ind w:left="567" w:hanging="567"/>
        <w:jc w:val="both"/>
        <w:rPr>
          <w:rFonts w:cs="Arial"/>
        </w:rPr>
      </w:pPr>
      <w:r w:rsidRPr="00F17F84">
        <w:rPr>
          <w:bCs/>
          <w:lang w:val="en-US"/>
        </w:rPr>
        <w:t xml:space="preserve">Forecast cost pressure of </w:t>
      </w:r>
      <w:r w:rsidRPr="008C337C">
        <w:rPr>
          <w:b/>
          <w:bCs/>
          <w:lang w:val="en-US"/>
        </w:rPr>
        <w:t>£0.2</w:t>
      </w:r>
      <w:r w:rsidR="000408F7" w:rsidRPr="008C337C">
        <w:rPr>
          <w:b/>
          <w:bCs/>
          <w:lang w:val="en-US"/>
        </w:rPr>
        <w:t>0</w:t>
      </w:r>
      <w:r w:rsidRPr="008C337C">
        <w:rPr>
          <w:b/>
          <w:bCs/>
          <w:lang w:val="en-US"/>
        </w:rPr>
        <w:t>8m</w:t>
      </w:r>
      <w:r w:rsidRPr="00F17F84">
        <w:rPr>
          <w:bCs/>
          <w:lang w:val="en-US"/>
        </w:rPr>
        <w:t xml:space="preserve"> from waste disposal (increase by £0.0</w:t>
      </w:r>
      <w:r w:rsidR="000408F7">
        <w:rPr>
          <w:bCs/>
          <w:lang w:val="en-US"/>
        </w:rPr>
        <w:t>4</w:t>
      </w:r>
      <w:r w:rsidRPr="00F17F84">
        <w:rPr>
          <w:bCs/>
          <w:lang w:val="en-US"/>
        </w:rPr>
        <w:t xml:space="preserve">7m from Q1). For dry recycling disposal, the gate fee per </w:t>
      </w:r>
      <w:proofErr w:type="spellStart"/>
      <w:r w:rsidR="003533CE" w:rsidRPr="00F17F84">
        <w:rPr>
          <w:bCs/>
          <w:lang w:val="en-US"/>
        </w:rPr>
        <w:t>ton</w:t>
      </w:r>
      <w:r w:rsidR="000408F7">
        <w:rPr>
          <w:bCs/>
          <w:lang w:val="en-US"/>
        </w:rPr>
        <w:t>ne</w:t>
      </w:r>
      <w:proofErr w:type="spellEnd"/>
      <w:r w:rsidRPr="00F17F84">
        <w:rPr>
          <w:bCs/>
          <w:lang w:val="en-US"/>
        </w:rPr>
        <w:t xml:space="preserve"> has increased significantly since February 18 due to </w:t>
      </w:r>
      <w:r w:rsidR="003533CE" w:rsidRPr="00F17F84">
        <w:rPr>
          <w:bCs/>
          <w:lang w:val="en-US"/>
        </w:rPr>
        <w:t>unfavorable</w:t>
      </w:r>
      <w:r w:rsidRPr="00F17F84">
        <w:rPr>
          <w:bCs/>
          <w:lang w:val="en-US"/>
        </w:rPr>
        <w:t xml:space="preserve"> market prices for dry recyclables. However, the monthly gate fee could fluctuate materially throughout the year, as such, forecast cost pressure could increase or decrease subject to market prices. The WLWA waste disposal levy is also variable subject to actual waste tonnage delivered to them. </w:t>
      </w:r>
      <w:r>
        <w:rPr>
          <w:bCs/>
          <w:lang w:val="en-US"/>
        </w:rPr>
        <w:t xml:space="preserve">The </w:t>
      </w:r>
      <w:r w:rsidR="00BF32B3">
        <w:rPr>
          <w:bCs/>
          <w:lang w:val="en-US"/>
        </w:rPr>
        <w:t xml:space="preserve">quarterly </w:t>
      </w:r>
      <w:r w:rsidR="00BF32B3" w:rsidRPr="00F17F84">
        <w:rPr>
          <w:bCs/>
          <w:lang w:val="en-US"/>
        </w:rPr>
        <w:t>residual</w:t>
      </w:r>
      <w:r w:rsidRPr="00F17F84">
        <w:rPr>
          <w:bCs/>
          <w:lang w:val="en-US"/>
        </w:rPr>
        <w:t xml:space="preserve"> waste tonnage shows an increase when compared to the same period of last financial year. </w:t>
      </w:r>
    </w:p>
    <w:p w:rsidR="00F17F84" w:rsidRDefault="00F17F84" w:rsidP="008C337C">
      <w:pPr>
        <w:pStyle w:val="ListParagraph"/>
      </w:pPr>
    </w:p>
    <w:p w:rsidR="00F17F84" w:rsidRPr="00F17F84" w:rsidRDefault="00601ED2" w:rsidP="008C337C">
      <w:pPr>
        <w:pStyle w:val="ListParagraph"/>
        <w:numPr>
          <w:ilvl w:val="0"/>
          <w:numId w:val="173"/>
        </w:numPr>
        <w:ind w:left="567" w:hanging="567"/>
        <w:jc w:val="both"/>
        <w:rPr>
          <w:rFonts w:cs="Arial"/>
        </w:rPr>
      </w:pPr>
      <w:r w:rsidRPr="00601ED2">
        <w:t>There is a saving t</w:t>
      </w:r>
      <w:r w:rsidR="00D76D65">
        <w:t xml:space="preserve">arget of </w:t>
      </w:r>
      <w:r w:rsidR="00D76D65" w:rsidRPr="008C337C">
        <w:rPr>
          <w:b/>
        </w:rPr>
        <w:t>£</w:t>
      </w:r>
      <w:r w:rsidR="000408F7" w:rsidRPr="008C337C">
        <w:rPr>
          <w:b/>
        </w:rPr>
        <w:t>75</w:t>
      </w:r>
      <w:r w:rsidR="009C7CA0">
        <w:rPr>
          <w:b/>
        </w:rPr>
        <w:t>k</w:t>
      </w:r>
      <w:r w:rsidR="00D76D65">
        <w:t xml:space="preserve"> in 18/19 for the Route O</w:t>
      </w:r>
      <w:r w:rsidRPr="00601ED2">
        <w:t xml:space="preserve">ptimisation of Food Waste collection. Although the initiatives in relation to food waste collection are being progressed as part of Waste Review, the saving likely to be achieved in the latter part of the financial year will be offset by the additional costs from other proposed changes within the review. The service also forecast a pressure on staffing cost of </w:t>
      </w:r>
      <w:r w:rsidRPr="008C337C">
        <w:rPr>
          <w:b/>
        </w:rPr>
        <w:t>£</w:t>
      </w:r>
      <w:r w:rsidR="000408F7" w:rsidRPr="008C337C">
        <w:rPr>
          <w:b/>
        </w:rPr>
        <w:t>60</w:t>
      </w:r>
      <w:r w:rsidR="009C7CA0">
        <w:rPr>
          <w:b/>
        </w:rPr>
        <w:t>k</w:t>
      </w:r>
      <w:r w:rsidR="00F17F84">
        <w:t>.</w:t>
      </w:r>
    </w:p>
    <w:p w:rsidR="00F17F84" w:rsidRDefault="00F17F84" w:rsidP="008C337C">
      <w:pPr>
        <w:pStyle w:val="ListParagraph"/>
      </w:pPr>
    </w:p>
    <w:p w:rsidR="00F17F84" w:rsidRPr="00F17F84" w:rsidRDefault="00F37DA4" w:rsidP="008C337C">
      <w:pPr>
        <w:pStyle w:val="ListParagraph"/>
        <w:numPr>
          <w:ilvl w:val="0"/>
          <w:numId w:val="173"/>
        </w:numPr>
        <w:ind w:left="567" w:hanging="567"/>
        <w:jc w:val="both"/>
        <w:rPr>
          <w:rFonts w:cs="Arial"/>
        </w:rPr>
      </w:pPr>
      <w:r>
        <w:t>Under-achievement of income at the</w:t>
      </w:r>
      <w:r w:rsidR="00F17F84" w:rsidRPr="00F17F84">
        <w:t xml:space="preserve"> Civic Amenities site from trade customers </w:t>
      </w:r>
      <w:r w:rsidR="00F17F84" w:rsidRPr="008C337C">
        <w:rPr>
          <w:b/>
        </w:rPr>
        <w:t>£84k</w:t>
      </w:r>
      <w:r w:rsidR="00F17F84">
        <w:t>.</w:t>
      </w:r>
    </w:p>
    <w:p w:rsidR="00F17F84" w:rsidRDefault="00F17F84" w:rsidP="008C337C">
      <w:pPr>
        <w:pStyle w:val="ListParagraph"/>
      </w:pPr>
    </w:p>
    <w:p w:rsidR="00F17F84" w:rsidRPr="00F17F84" w:rsidRDefault="00410AC8" w:rsidP="008C337C">
      <w:pPr>
        <w:pStyle w:val="ListParagraph"/>
        <w:numPr>
          <w:ilvl w:val="0"/>
          <w:numId w:val="173"/>
        </w:numPr>
        <w:ind w:left="567" w:hanging="567"/>
        <w:jc w:val="both"/>
        <w:rPr>
          <w:rFonts w:cs="Arial"/>
        </w:rPr>
      </w:pPr>
      <w:r w:rsidRPr="00F17F84">
        <w:t>Forecast</w:t>
      </w:r>
      <w:r>
        <w:t xml:space="preserve"> </w:t>
      </w:r>
      <w:r w:rsidRPr="00F17F84">
        <w:t>overspends</w:t>
      </w:r>
      <w:r w:rsidR="00F17F84" w:rsidRPr="00F17F84">
        <w:t xml:space="preserve"> in staffing costs in Clean &amp; Green – additional overtime payment </w:t>
      </w:r>
      <w:r w:rsidR="00F17F84" w:rsidRPr="008C337C">
        <w:rPr>
          <w:b/>
        </w:rPr>
        <w:t>£0.100</w:t>
      </w:r>
      <w:r w:rsidR="00D76D65" w:rsidRPr="008C337C">
        <w:rPr>
          <w:b/>
        </w:rPr>
        <w:t>m</w:t>
      </w:r>
      <w:r w:rsidR="00D76D65">
        <w:t xml:space="preserve"> and agency staff cost </w:t>
      </w:r>
      <w:r w:rsidR="00D76D65" w:rsidRPr="008C337C">
        <w:rPr>
          <w:b/>
        </w:rPr>
        <w:t>£0.1</w:t>
      </w:r>
      <w:r w:rsidR="000408F7" w:rsidRPr="008C337C">
        <w:rPr>
          <w:b/>
        </w:rPr>
        <w:t>60</w:t>
      </w:r>
      <w:r w:rsidR="00D76D65" w:rsidRPr="008C337C">
        <w:rPr>
          <w:b/>
        </w:rPr>
        <w:t>m</w:t>
      </w:r>
      <w:r w:rsidR="00D76D65">
        <w:t xml:space="preserve"> is</w:t>
      </w:r>
      <w:r w:rsidR="00F17F84" w:rsidRPr="00F17F84">
        <w:t xml:space="preserve"> due to Housing </w:t>
      </w:r>
      <w:r w:rsidR="00601ED2" w:rsidRPr="00F17F84">
        <w:t>service standard</w:t>
      </w:r>
      <w:r w:rsidR="00F17F84" w:rsidRPr="00F17F84">
        <w:t xml:space="preserve"> </w:t>
      </w:r>
      <w:r w:rsidR="00601ED2">
        <w:t xml:space="preserve">review </w:t>
      </w:r>
      <w:r w:rsidR="00D76D65">
        <w:t>which has required overtime</w:t>
      </w:r>
      <w:r w:rsidR="00F17F84" w:rsidRPr="00F17F84">
        <w:t xml:space="preserve"> </w:t>
      </w:r>
      <w:r w:rsidR="00821562">
        <w:t xml:space="preserve">to </w:t>
      </w:r>
      <w:r w:rsidR="00821562" w:rsidRPr="00F17F84">
        <w:t>cover</w:t>
      </w:r>
      <w:r w:rsidR="00821562">
        <w:t xml:space="preserve"> unbudgeted</w:t>
      </w:r>
      <w:r w:rsidR="00F17F84" w:rsidRPr="00F17F84">
        <w:t xml:space="preserve"> holiday and sickness absence. These are partially offset by underspend in parks levy of </w:t>
      </w:r>
      <w:r w:rsidR="00F17F84" w:rsidRPr="008C337C">
        <w:rPr>
          <w:b/>
        </w:rPr>
        <w:t>(£35k),</w:t>
      </w:r>
      <w:r w:rsidR="00F17F84" w:rsidRPr="00F17F84">
        <w:t xml:space="preserve"> a one-off over achievement in Cemeteries income of </w:t>
      </w:r>
      <w:r w:rsidR="00F17F84" w:rsidRPr="008C337C">
        <w:rPr>
          <w:b/>
        </w:rPr>
        <w:t>(£56k)</w:t>
      </w:r>
      <w:r w:rsidR="00F17F84" w:rsidRPr="00F17F84">
        <w:t xml:space="preserve"> and other income of </w:t>
      </w:r>
      <w:r w:rsidR="00F17F84" w:rsidRPr="008C337C">
        <w:rPr>
          <w:b/>
        </w:rPr>
        <w:t>(£19k).</w:t>
      </w:r>
    </w:p>
    <w:p w:rsidR="00F17F84" w:rsidRDefault="00F17F84" w:rsidP="008C337C">
      <w:pPr>
        <w:pStyle w:val="ListParagraph"/>
      </w:pPr>
    </w:p>
    <w:p w:rsidR="00414588" w:rsidRPr="009E69CE" w:rsidRDefault="00F17F84" w:rsidP="008C337C">
      <w:pPr>
        <w:pStyle w:val="ListParagraph"/>
        <w:numPr>
          <w:ilvl w:val="0"/>
          <w:numId w:val="173"/>
        </w:numPr>
        <w:ind w:left="567" w:hanging="567"/>
        <w:jc w:val="both"/>
        <w:rPr>
          <w:rFonts w:cs="Arial"/>
        </w:rPr>
      </w:pPr>
      <w:r w:rsidRPr="00F17F84">
        <w:t>A shortfall of £</w:t>
      </w:r>
      <w:r w:rsidRPr="008C337C">
        <w:rPr>
          <w:b/>
        </w:rPr>
        <w:t>0.1</w:t>
      </w:r>
      <w:r w:rsidR="000408F7" w:rsidRPr="008C337C">
        <w:rPr>
          <w:b/>
        </w:rPr>
        <w:t>35</w:t>
      </w:r>
      <w:r w:rsidRPr="008C337C">
        <w:rPr>
          <w:b/>
        </w:rPr>
        <w:t>m</w:t>
      </w:r>
      <w:r w:rsidRPr="00F17F84">
        <w:t xml:space="preserve"> on Public Protection income, which relates to </w:t>
      </w:r>
      <w:r w:rsidRPr="00F37DA4">
        <w:t>£50k</w:t>
      </w:r>
      <w:r w:rsidRPr="00F17F84">
        <w:t xml:space="preserve"> reduction in health and safety service level of agreement income due to a reduced take-up from schools and </w:t>
      </w:r>
      <w:r w:rsidR="00C63BEA">
        <w:t>(85k)</w:t>
      </w:r>
      <w:r w:rsidRPr="00F17F84">
        <w:t xml:space="preserve"> licensing income</w:t>
      </w:r>
      <w:r>
        <w:t>.</w:t>
      </w:r>
      <w:r w:rsidRPr="009A371F" w:rsidDel="00F17F84">
        <w:t xml:space="preserve"> </w:t>
      </w:r>
    </w:p>
    <w:p w:rsidR="005818E9" w:rsidRPr="000C5533" w:rsidRDefault="005818E9" w:rsidP="008C337C">
      <w:pPr>
        <w:pStyle w:val="ListParagraph"/>
        <w:rPr>
          <w:rFonts w:cs="Arial"/>
        </w:rPr>
      </w:pPr>
    </w:p>
    <w:p w:rsidR="005818E9" w:rsidRDefault="00454B6E" w:rsidP="008C337C">
      <w:pPr>
        <w:pStyle w:val="ListParagraph"/>
        <w:numPr>
          <w:ilvl w:val="0"/>
          <w:numId w:val="173"/>
        </w:numPr>
        <w:ind w:left="567" w:hanging="567"/>
        <w:jc w:val="both"/>
        <w:rPr>
          <w:rFonts w:cs="Arial"/>
        </w:rPr>
      </w:pPr>
      <w:r>
        <w:rPr>
          <w:rFonts w:cs="Arial"/>
        </w:rPr>
        <w:t xml:space="preserve">There was a shortfall of (£0.130m) in Museum income </w:t>
      </w:r>
      <w:r w:rsidR="005818E9">
        <w:rPr>
          <w:rFonts w:cs="Arial"/>
        </w:rPr>
        <w:t>reported in</w:t>
      </w:r>
      <w:r w:rsidR="001F7015">
        <w:rPr>
          <w:rFonts w:cs="Arial"/>
        </w:rPr>
        <w:t xml:space="preserve"> Q</w:t>
      </w:r>
      <w:r w:rsidR="005818E9">
        <w:rPr>
          <w:rFonts w:cs="Arial"/>
        </w:rPr>
        <w:t>1</w:t>
      </w:r>
      <w:r w:rsidR="00491DEC">
        <w:rPr>
          <w:rFonts w:cs="Arial"/>
        </w:rPr>
        <w:t xml:space="preserve">, this </w:t>
      </w:r>
      <w:r w:rsidR="005818E9">
        <w:rPr>
          <w:rFonts w:cs="Arial"/>
        </w:rPr>
        <w:t>has been</w:t>
      </w:r>
      <w:r w:rsidR="005818E9" w:rsidRPr="008C337C">
        <w:rPr>
          <w:rFonts w:cs="Arial"/>
        </w:rPr>
        <w:t xml:space="preserve"> mitigated by </w:t>
      </w:r>
      <w:r w:rsidR="00A50A0E">
        <w:rPr>
          <w:rFonts w:cs="Arial"/>
        </w:rPr>
        <w:t xml:space="preserve">an </w:t>
      </w:r>
      <w:r w:rsidR="005818E9" w:rsidRPr="008C337C">
        <w:rPr>
          <w:rFonts w:cs="Arial"/>
        </w:rPr>
        <w:t>underspend in staffing</w:t>
      </w:r>
      <w:r w:rsidR="00491DEC">
        <w:rPr>
          <w:rFonts w:cs="Arial"/>
        </w:rPr>
        <w:t xml:space="preserve"> and is part of the movement between Q1 and Q2.</w:t>
      </w:r>
      <w:r w:rsidR="005818E9" w:rsidRPr="008C337C">
        <w:rPr>
          <w:rFonts w:cs="Arial"/>
        </w:rPr>
        <w:t xml:space="preserve"> </w:t>
      </w:r>
    </w:p>
    <w:p w:rsidR="00C407D3" w:rsidRPr="00C15319" w:rsidRDefault="00C407D3" w:rsidP="008C337C">
      <w:pPr>
        <w:pStyle w:val="ListParagraph"/>
        <w:rPr>
          <w:rFonts w:cs="Arial"/>
        </w:rPr>
      </w:pPr>
    </w:p>
    <w:p w:rsidR="001E01E7" w:rsidRDefault="00C407D3" w:rsidP="008C337C">
      <w:pPr>
        <w:pStyle w:val="ListParagraph"/>
        <w:numPr>
          <w:ilvl w:val="0"/>
          <w:numId w:val="173"/>
        </w:numPr>
        <w:ind w:left="567" w:hanging="567"/>
        <w:jc w:val="both"/>
        <w:rPr>
          <w:rFonts w:cs="Arial"/>
        </w:rPr>
      </w:pPr>
      <w:r w:rsidRPr="008C337C">
        <w:rPr>
          <w:rFonts w:cs="Arial"/>
          <w:b/>
        </w:rPr>
        <w:t xml:space="preserve">Housing General Fund </w:t>
      </w:r>
      <w:r w:rsidRPr="008C337C">
        <w:rPr>
          <w:rFonts w:cs="Arial"/>
        </w:rPr>
        <w:t>forecasts a balanced position. The budget assumes a saving of £0.573m against the homelessness budget as a result of purchasing an additional 50 properties for temporary accommodation.</w:t>
      </w:r>
      <w:r w:rsidR="003B10ED" w:rsidRPr="008C337C">
        <w:rPr>
          <w:rFonts w:cs="Arial"/>
        </w:rPr>
        <w:t xml:space="preserve"> </w:t>
      </w:r>
    </w:p>
    <w:p w:rsidR="00550732" w:rsidRPr="007F407F" w:rsidRDefault="00550732" w:rsidP="00531831">
      <w:pPr>
        <w:pStyle w:val="ListParagraph"/>
        <w:rPr>
          <w:rFonts w:cs="Arial"/>
        </w:rPr>
      </w:pPr>
    </w:p>
    <w:p w:rsidR="00550732" w:rsidRPr="008C337C" w:rsidRDefault="00550732" w:rsidP="00531831">
      <w:pPr>
        <w:pStyle w:val="ListParagraph"/>
        <w:ind w:left="567"/>
        <w:jc w:val="both"/>
        <w:rPr>
          <w:rFonts w:cs="Arial"/>
        </w:rPr>
      </w:pPr>
    </w:p>
    <w:p w:rsidR="00C407D3" w:rsidRPr="005818E9" w:rsidRDefault="003B10ED" w:rsidP="008C337C">
      <w:pPr>
        <w:pStyle w:val="ListParagraph"/>
        <w:numPr>
          <w:ilvl w:val="0"/>
          <w:numId w:val="173"/>
        </w:numPr>
        <w:ind w:left="567" w:hanging="567"/>
        <w:jc w:val="both"/>
        <w:rPr>
          <w:rFonts w:cs="Arial"/>
        </w:rPr>
      </w:pPr>
      <w:r>
        <w:rPr>
          <w:rFonts w:cs="Arial"/>
        </w:rPr>
        <w:t xml:space="preserve">The additional 50 properties has not yet been purchased, however as the budget assumes £0.573m of borrowing costs to fund the properties, there is no cost pressure </w:t>
      </w:r>
      <w:r w:rsidR="009B4C8D">
        <w:rPr>
          <w:rFonts w:cs="Arial"/>
        </w:rPr>
        <w:t xml:space="preserve">as a result </w:t>
      </w:r>
      <w:r>
        <w:rPr>
          <w:rFonts w:cs="Arial"/>
        </w:rPr>
        <w:t>o</w:t>
      </w:r>
      <w:r w:rsidR="009B4C8D">
        <w:rPr>
          <w:rFonts w:cs="Arial"/>
        </w:rPr>
        <w:t>f</w:t>
      </w:r>
      <w:r>
        <w:rPr>
          <w:rFonts w:cs="Arial"/>
        </w:rPr>
        <w:t xml:space="preserve"> the delay of this initiative.</w:t>
      </w:r>
    </w:p>
    <w:p w:rsidR="009A1397" w:rsidRPr="0019235D" w:rsidRDefault="009A1397" w:rsidP="008C337C">
      <w:pPr>
        <w:pStyle w:val="ListParagraph"/>
        <w:ind w:left="567"/>
        <w:jc w:val="both"/>
        <w:rPr>
          <w:rFonts w:cs="Arial"/>
        </w:rPr>
      </w:pPr>
    </w:p>
    <w:p w:rsidR="003F4CC5" w:rsidRPr="0015526F" w:rsidRDefault="0057446C" w:rsidP="00531831">
      <w:pPr>
        <w:pStyle w:val="ListParagraph"/>
        <w:numPr>
          <w:ilvl w:val="0"/>
          <w:numId w:val="173"/>
        </w:numPr>
        <w:ind w:left="567" w:hanging="567"/>
        <w:jc w:val="both"/>
        <w:rPr>
          <w:rFonts w:cs="Arial"/>
        </w:rPr>
      </w:pPr>
      <w:r w:rsidRPr="0057446C">
        <w:rPr>
          <w:rFonts w:cs="Arial"/>
          <w:szCs w:val="24"/>
        </w:rPr>
        <w:t xml:space="preserve">The homelessness budget is forecasting a pressure of £17k after a drawdown of </w:t>
      </w:r>
      <w:r>
        <w:rPr>
          <w:rFonts w:cs="Arial"/>
          <w:szCs w:val="24"/>
        </w:rPr>
        <w:t>(</w:t>
      </w:r>
      <w:r w:rsidRPr="0057446C">
        <w:rPr>
          <w:rFonts w:cs="Arial"/>
          <w:szCs w:val="24"/>
        </w:rPr>
        <w:t>£1.449m</w:t>
      </w:r>
      <w:r>
        <w:rPr>
          <w:rFonts w:cs="Arial"/>
          <w:szCs w:val="24"/>
        </w:rPr>
        <w:t>)</w:t>
      </w:r>
      <w:r w:rsidRPr="0057446C">
        <w:rPr>
          <w:rFonts w:cs="Arial"/>
          <w:szCs w:val="24"/>
        </w:rPr>
        <w:t xml:space="preserve"> from the Flexible Homelessness Support Grant (FHSG), an increase in drawdown of £</w:t>
      </w:r>
      <w:r w:rsidR="00B97305">
        <w:rPr>
          <w:rFonts w:cs="Arial"/>
          <w:szCs w:val="24"/>
        </w:rPr>
        <w:t>0.</w:t>
      </w:r>
      <w:r w:rsidRPr="0057446C">
        <w:rPr>
          <w:rFonts w:cs="Arial"/>
          <w:szCs w:val="24"/>
        </w:rPr>
        <w:t>826</w:t>
      </w:r>
      <w:r w:rsidR="00B97305">
        <w:rPr>
          <w:rFonts w:cs="Arial"/>
          <w:szCs w:val="24"/>
        </w:rPr>
        <w:t>m</w:t>
      </w:r>
      <w:r>
        <w:rPr>
          <w:rFonts w:cs="Arial"/>
          <w:szCs w:val="24"/>
        </w:rPr>
        <w:t xml:space="preserve"> from </w:t>
      </w:r>
      <w:r w:rsidR="001F7015">
        <w:rPr>
          <w:rFonts w:cs="Arial"/>
          <w:szCs w:val="24"/>
        </w:rPr>
        <w:t>Q</w:t>
      </w:r>
      <w:r w:rsidRPr="0057446C">
        <w:rPr>
          <w:rFonts w:cs="Arial"/>
          <w:szCs w:val="24"/>
        </w:rPr>
        <w:t>1</w:t>
      </w:r>
      <w:r>
        <w:rPr>
          <w:rFonts w:cs="Arial"/>
          <w:szCs w:val="24"/>
        </w:rPr>
        <w:t>.</w:t>
      </w:r>
      <w:r w:rsidR="003F4CC5" w:rsidRPr="003F4CC5">
        <w:rPr>
          <w:rFonts w:cs="Arial"/>
        </w:rPr>
        <w:t xml:space="preserve"> </w:t>
      </w:r>
      <w:r w:rsidR="003F4CC5" w:rsidRPr="0015526F">
        <w:rPr>
          <w:rFonts w:cs="Arial"/>
        </w:rPr>
        <w:t>This increase is as a result of detailed work that has been carried out to ensure the base information held on Northgate is correct and up to date which was completed in July and as a result better information is now available for projection of costs. Coupled with the introduction of the new Homelessness Reduction Act in April 2018 has led to an increase in the homelessness pressures which is being prevented and relieved by the use of Flexible Homelessness Support grant.</w:t>
      </w:r>
    </w:p>
    <w:p w:rsidR="0057446C" w:rsidRPr="0057446C" w:rsidRDefault="0057446C" w:rsidP="008C337C">
      <w:pPr>
        <w:pStyle w:val="ListParagraph"/>
        <w:rPr>
          <w:rFonts w:cs="Arial"/>
          <w:szCs w:val="24"/>
        </w:rPr>
      </w:pPr>
    </w:p>
    <w:p w:rsidR="0057446C" w:rsidRPr="0057446C" w:rsidRDefault="0057446C" w:rsidP="00531831">
      <w:pPr>
        <w:pStyle w:val="ListParagraph"/>
        <w:numPr>
          <w:ilvl w:val="0"/>
          <w:numId w:val="173"/>
        </w:numPr>
        <w:ind w:left="567" w:hanging="567"/>
        <w:jc w:val="both"/>
        <w:rPr>
          <w:rFonts w:cs="Arial"/>
        </w:rPr>
      </w:pPr>
      <w:r w:rsidRPr="0057446C">
        <w:rPr>
          <w:rFonts w:cs="Arial"/>
          <w:szCs w:val="24"/>
        </w:rPr>
        <w:t>Remaining budgets are forecasting a pressure of £87k fully mitigated by a favourable variance on the Property Acquisition Programme</w:t>
      </w:r>
      <w:r>
        <w:rPr>
          <w:rFonts w:cs="Arial"/>
          <w:szCs w:val="24"/>
        </w:rPr>
        <w:t>.</w:t>
      </w:r>
    </w:p>
    <w:p w:rsidR="0057446C" w:rsidRPr="0057446C" w:rsidRDefault="0057446C" w:rsidP="008C337C">
      <w:pPr>
        <w:pStyle w:val="ListParagraph"/>
        <w:rPr>
          <w:rFonts w:cs="Arial"/>
          <w:szCs w:val="24"/>
        </w:rPr>
      </w:pPr>
    </w:p>
    <w:p w:rsidR="0057446C" w:rsidRPr="00531831" w:rsidRDefault="00D44D44" w:rsidP="00531831">
      <w:pPr>
        <w:pStyle w:val="ListParagraph"/>
        <w:numPr>
          <w:ilvl w:val="0"/>
          <w:numId w:val="173"/>
        </w:numPr>
        <w:ind w:left="567" w:hanging="567"/>
        <w:jc w:val="both"/>
        <w:rPr>
          <w:rFonts w:cs="Arial"/>
        </w:rPr>
      </w:pPr>
      <w:r>
        <w:rPr>
          <w:rFonts w:cs="Arial"/>
          <w:szCs w:val="24"/>
        </w:rPr>
        <w:t xml:space="preserve">The </w:t>
      </w:r>
      <w:r w:rsidR="0057446C" w:rsidRPr="0057446C">
        <w:rPr>
          <w:rFonts w:cs="Arial"/>
          <w:szCs w:val="24"/>
        </w:rPr>
        <w:t>F</w:t>
      </w:r>
      <w:r>
        <w:rPr>
          <w:rFonts w:cs="Arial"/>
          <w:szCs w:val="24"/>
        </w:rPr>
        <w:t xml:space="preserve">lexible </w:t>
      </w:r>
      <w:r w:rsidR="0057446C" w:rsidRPr="0057446C">
        <w:rPr>
          <w:rFonts w:cs="Arial"/>
          <w:szCs w:val="24"/>
        </w:rPr>
        <w:t>H</w:t>
      </w:r>
      <w:r>
        <w:rPr>
          <w:rFonts w:cs="Arial"/>
          <w:szCs w:val="24"/>
        </w:rPr>
        <w:t xml:space="preserve">omelessness </w:t>
      </w:r>
      <w:r w:rsidR="0057446C" w:rsidRPr="0057446C">
        <w:rPr>
          <w:rFonts w:cs="Arial"/>
          <w:szCs w:val="24"/>
        </w:rPr>
        <w:t>S</w:t>
      </w:r>
      <w:r>
        <w:rPr>
          <w:rFonts w:cs="Arial"/>
          <w:szCs w:val="24"/>
        </w:rPr>
        <w:t xml:space="preserve">upport </w:t>
      </w:r>
      <w:r w:rsidR="0057446C" w:rsidRPr="0057446C">
        <w:rPr>
          <w:rFonts w:cs="Arial"/>
          <w:szCs w:val="24"/>
        </w:rPr>
        <w:t>G</w:t>
      </w:r>
      <w:r>
        <w:rPr>
          <w:rFonts w:cs="Arial"/>
          <w:szCs w:val="24"/>
        </w:rPr>
        <w:t>rant</w:t>
      </w:r>
      <w:r w:rsidR="0057446C" w:rsidRPr="0057446C">
        <w:rPr>
          <w:rFonts w:cs="Arial"/>
          <w:szCs w:val="24"/>
        </w:rPr>
        <w:t xml:space="preserve"> and New Burdens Funding of £1.985m and £0.167m respecti</w:t>
      </w:r>
      <w:r w:rsidR="00C31F1C">
        <w:rPr>
          <w:rFonts w:cs="Arial"/>
          <w:szCs w:val="24"/>
        </w:rPr>
        <w:t>vely have been received in 2018/</w:t>
      </w:r>
      <w:r w:rsidR="0057446C" w:rsidRPr="0057446C">
        <w:rPr>
          <w:rFonts w:cs="Arial"/>
          <w:szCs w:val="24"/>
        </w:rPr>
        <w:t>19 wi</w:t>
      </w:r>
      <w:r w:rsidR="00C31F1C">
        <w:rPr>
          <w:rFonts w:cs="Arial"/>
          <w:szCs w:val="24"/>
        </w:rPr>
        <w:t xml:space="preserve">th a further £1.449m </w:t>
      </w:r>
      <w:r w:rsidR="0057446C" w:rsidRPr="0057446C">
        <w:rPr>
          <w:rFonts w:cs="Arial"/>
          <w:szCs w:val="24"/>
        </w:rPr>
        <w:t>grant brough</w:t>
      </w:r>
      <w:r w:rsidR="00C31F1C">
        <w:rPr>
          <w:rFonts w:cs="Arial"/>
          <w:szCs w:val="24"/>
        </w:rPr>
        <w:t xml:space="preserve">t forward from </w:t>
      </w:r>
      <w:r w:rsidR="00024DD4">
        <w:rPr>
          <w:rFonts w:cs="Arial"/>
          <w:szCs w:val="24"/>
        </w:rPr>
        <w:t>20</w:t>
      </w:r>
      <w:r w:rsidR="00C31F1C">
        <w:rPr>
          <w:rFonts w:cs="Arial"/>
          <w:szCs w:val="24"/>
        </w:rPr>
        <w:t>17/</w:t>
      </w:r>
      <w:r w:rsidR="0057446C" w:rsidRPr="0057446C">
        <w:rPr>
          <w:rFonts w:cs="Arial"/>
          <w:szCs w:val="24"/>
        </w:rPr>
        <w:t>18</w:t>
      </w:r>
      <w:r>
        <w:rPr>
          <w:rFonts w:cs="Arial"/>
          <w:szCs w:val="24"/>
        </w:rPr>
        <w:t xml:space="preserve"> bringing total grant funding to</w:t>
      </w:r>
      <w:r w:rsidR="0057446C" w:rsidRPr="0057446C">
        <w:rPr>
          <w:rFonts w:cs="Arial"/>
          <w:szCs w:val="24"/>
        </w:rPr>
        <w:t xml:space="preserve"> £3.60</w:t>
      </w:r>
      <w:r w:rsidR="001159F6">
        <w:rPr>
          <w:rFonts w:cs="Arial"/>
          <w:szCs w:val="24"/>
        </w:rPr>
        <w:t>1</w:t>
      </w:r>
      <w:r w:rsidR="0057446C" w:rsidRPr="0057446C">
        <w:rPr>
          <w:rFonts w:cs="Arial"/>
          <w:szCs w:val="24"/>
        </w:rPr>
        <w:t xml:space="preserve">m, </w:t>
      </w:r>
      <w:r w:rsidR="009B4C8D">
        <w:rPr>
          <w:rFonts w:cs="Arial"/>
          <w:szCs w:val="24"/>
        </w:rPr>
        <w:t>following the drawdown of £1.449m there will be a balance of £2.152m remaining.</w:t>
      </w:r>
    </w:p>
    <w:p w:rsidR="00024DD4" w:rsidRPr="00531831" w:rsidRDefault="00024DD4" w:rsidP="00531831">
      <w:pPr>
        <w:pStyle w:val="ListParagraph"/>
        <w:rPr>
          <w:rFonts w:cs="Arial"/>
        </w:rPr>
      </w:pPr>
    </w:p>
    <w:p w:rsidR="00024DD4" w:rsidRPr="00531831" w:rsidRDefault="00024DD4">
      <w:pPr>
        <w:pStyle w:val="ListParagraph"/>
        <w:numPr>
          <w:ilvl w:val="0"/>
          <w:numId w:val="173"/>
        </w:numPr>
        <w:ind w:left="567" w:hanging="567"/>
        <w:jc w:val="both"/>
        <w:rPr>
          <w:rFonts w:cs="Arial"/>
        </w:rPr>
      </w:pPr>
      <w:r w:rsidRPr="00024DD4">
        <w:rPr>
          <w:rFonts w:cs="Arial"/>
          <w:b/>
        </w:rPr>
        <w:t xml:space="preserve">Regeneration, Enterprise and Planning </w:t>
      </w:r>
      <w:proofErr w:type="spellStart"/>
      <w:r w:rsidRPr="00024DD4">
        <w:rPr>
          <w:rFonts w:cs="Arial"/>
          <w:b/>
        </w:rPr>
        <w:t>Planning</w:t>
      </w:r>
      <w:proofErr w:type="spellEnd"/>
      <w:r w:rsidRPr="00024DD4">
        <w:rPr>
          <w:rFonts w:cs="Arial"/>
          <w:b/>
        </w:rPr>
        <w:t xml:space="preserve"> </w:t>
      </w:r>
      <w:r w:rsidRPr="00024DD4">
        <w:rPr>
          <w:rFonts w:cs="Arial"/>
        </w:rPr>
        <w:t>forecasts a neutral outturn on the basis that the revenue costs of regeneration activity (estimated at £1.380m) are funded from the capacity already set aside within the Minimum Revenue Position (MRP).This is inclusive of regeneration programme delivery costs including, staff time and additional consultancy advice costs.</w:t>
      </w:r>
    </w:p>
    <w:p w:rsidR="0092144D" w:rsidRPr="000E3FBF" w:rsidRDefault="0092144D" w:rsidP="008C337C">
      <w:pPr>
        <w:pStyle w:val="ListParagraph"/>
        <w:rPr>
          <w:rFonts w:cs="Arial"/>
        </w:rPr>
      </w:pPr>
    </w:p>
    <w:p w:rsidR="00070E53" w:rsidRDefault="00070E53" w:rsidP="00BC03D5">
      <w:pPr>
        <w:pStyle w:val="ListParagraph"/>
        <w:rPr>
          <w:rFonts w:cs="Arial"/>
        </w:rPr>
      </w:pPr>
    </w:p>
    <w:p w:rsidR="00C11DAD" w:rsidRPr="0019235D" w:rsidRDefault="00C11DAD" w:rsidP="00BC03D5">
      <w:pPr>
        <w:pStyle w:val="ListParagraph"/>
        <w:rPr>
          <w:rFonts w:cs="Arial"/>
        </w:rPr>
      </w:pPr>
    </w:p>
    <w:p w:rsidR="00225A62" w:rsidRDefault="00225A62" w:rsidP="00531831">
      <w:pPr>
        <w:pStyle w:val="ListParagraph"/>
        <w:ind w:left="567"/>
        <w:jc w:val="both"/>
        <w:rPr>
          <w:rFonts w:cs="Arial"/>
          <w:b/>
          <w:u w:val="single"/>
        </w:rPr>
      </w:pPr>
      <w:r w:rsidRPr="00F479D6">
        <w:rPr>
          <w:rFonts w:cs="Arial"/>
          <w:b/>
          <w:u w:val="single"/>
        </w:rPr>
        <w:t>People Services</w:t>
      </w:r>
    </w:p>
    <w:p w:rsidR="00225A62" w:rsidRPr="00F479D6" w:rsidRDefault="00225A62" w:rsidP="00225A62">
      <w:pPr>
        <w:ind w:right="304"/>
        <w:jc w:val="both"/>
        <w:rPr>
          <w:rFonts w:cs="Arial"/>
          <w:b/>
          <w:u w:val="single"/>
        </w:rPr>
      </w:pPr>
    </w:p>
    <w:p w:rsidR="00E7778C" w:rsidRPr="008C337C" w:rsidRDefault="00225A62" w:rsidP="00531831">
      <w:pPr>
        <w:pStyle w:val="ListParagraph"/>
        <w:numPr>
          <w:ilvl w:val="0"/>
          <w:numId w:val="173"/>
        </w:numPr>
        <w:ind w:left="567" w:hanging="567"/>
        <w:jc w:val="both"/>
        <w:rPr>
          <w:rFonts w:cs="Arial"/>
        </w:rPr>
      </w:pPr>
      <w:r w:rsidRPr="00BF32B3">
        <w:rPr>
          <w:rFonts w:cs="Arial"/>
          <w:bCs/>
        </w:rPr>
        <w:t>The People’s Directorate is forecasting a</w:t>
      </w:r>
      <w:r w:rsidR="00070762">
        <w:rPr>
          <w:rFonts w:cs="Arial"/>
          <w:bCs/>
        </w:rPr>
        <w:t xml:space="preserve"> gross overspend position of </w:t>
      </w:r>
      <w:r w:rsidR="00070762" w:rsidRPr="008C337C">
        <w:rPr>
          <w:rFonts w:cs="Arial"/>
          <w:b/>
          <w:bCs/>
        </w:rPr>
        <w:t>£</w:t>
      </w:r>
      <w:r w:rsidR="00CE0152">
        <w:rPr>
          <w:rFonts w:cs="Arial"/>
          <w:b/>
          <w:bCs/>
        </w:rPr>
        <w:t>4.458</w:t>
      </w:r>
      <w:r w:rsidR="00070762" w:rsidRPr="008C337C">
        <w:rPr>
          <w:rFonts w:cs="Arial"/>
          <w:b/>
          <w:bCs/>
        </w:rPr>
        <w:t>m</w:t>
      </w:r>
      <w:r w:rsidR="00070762">
        <w:rPr>
          <w:rFonts w:cs="Arial"/>
          <w:bCs/>
        </w:rPr>
        <w:t>, this represent an increase in forecast of £1.</w:t>
      </w:r>
      <w:r w:rsidR="00CE0152">
        <w:rPr>
          <w:rFonts w:cs="Arial"/>
          <w:bCs/>
        </w:rPr>
        <w:t>937</w:t>
      </w:r>
      <w:r w:rsidR="00070762">
        <w:rPr>
          <w:rFonts w:cs="Arial"/>
          <w:bCs/>
        </w:rPr>
        <w:t xml:space="preserve">m when compare to </w:t>
      </w:r>
      <w:r w:rsidR="001F7015">
        <w:rPr>
          <w:rFonts w:cs="Arial"/>
          <w:bCs/>
        </w:rPr>
        <w:t>Q</w:t>
      </w:r>
      <w:r w:rsidR="00070762">
        <w:rPr>
          <w:rFonts w:cs="Arial"/>
          <w:bCs/>
        </w:rPr>
        <w:t xml:space="preserve">1 position of </w:t>
      </w:r>
      <w:r w:rsidR="00070762" w:rsidRPr="008C337C">
        <w:rPr>
          <w:rFonts w:cs="Arial"/>
          <w:b/>
          <w:bCs/>
        </w:rPr>
        <w:t>£2.521m</w:t>
      </w:r>
      <w:r w:rsidR="00070762">
        <w:rPr>
          <w:rFonts w:cs="Arial"/>
          <w:bCs/>
        </w:rPr>
        <w:t>. The £</w:t>
      </w:r>
      <w:r w:rsidR="00CE0152">
        <w:rPr>
          <w:rFonts w:cs="Arial"/>
          <w:bCs/>
        </w:rPr>
        <w:t>4.458</w:t>
      </w:r>
      <w:r w:rsidR="00070762">
        <w:rPr>
          <w:rFonts w:cs="Arial"/>
          <w:bCs/>
        </w:rPr>
        <w:t xml:space="preserve">m overspend is further reduced to </w:t>
      </w:r>
      <w:r w:rsidR="001335F4">
        <w:rPr>
          <w:rFonts w:cs="Arial"/>
          <w:b/>
          <w:bCs/>
        </w:rPr>
        <w:t>£2.</w:t>
      </w:r>
      <w:r w:rsidR="00CE0152">
        <w:rPr>
          <w:rFonts w:cs="Arial"/>
          <w:b/>
          <w:bCs/>
        </w:rPr>
        <w:t>882</w:t>
      </w:r>
      <w:r w:rsidR="00070762" w:rsidRPr="008C337C">
        <w:rPr>
          <w:rFonts w:cs="Arial"/>
          <w:b/>
          <w:bCs/>
        </w:rPr>
        <w:t>m</w:t>
      </w:r>
      <w:r w:rsidR="00070762">
        <w:rPr>
          <w:rFonts w:cs="Arial"/>
          <w:bCs/>
        </w:rPr>
        <w:t xml:space="preserve"> a</w:t>
      </w:r>
      <w:r w:rsidR="001335F4">
        <w:rPr>
          <w:rFonts w:cs="Arial"/>
          <w:bCs/>
        </w:rPr>
        <w:t xml:space="preserve">fter </w:t>
      </w:r>
      <w:r w:rsidR="001A34CA">
        <w:rPr>
          <w:rFonts w:cs="Arial"/>
          <w:bCs/>
        </w:rPr>
        <w:t xml:space="preserve"> one-off social care fund</w:t>
      </w:r>
      <w:r w:rsidR="001335F4">
        <w:rPr>
          <w:rFonts w:cs="Arial"/>
          <w:bCs/>
        </w:rPr>
        <w:t>ing</w:t>
      </w:r>
      <w:r w:rsidR="00070762">
        <w:rPr>
          <w:rFonts w:cs="Arial"/>
          <w:bCs/>
        </w:rPr>
        <w:t xml:space="preserve"> of </w:t>
      </w:r>
      <w:r w:rsidR="00070762" w:rsidRPr="008C337C">
        <w:rPr>
          <w:rFonts w:cs="Arial"/>
          <w:b/>
          <w:bCs/>
        </w:rPr>
        <w:t>(£1.576m)</w:t>
      </w:r>
      <w:r w:rsidR="00070762">
        <w:rPr>
          <w:rFonts w:cs="Arial"/>
          <w:bCs/>
        </w:rPr>
        <w:t xml:space="preserve"> re</w:t>
      </w:r>
      <w:r w:rsidR="001335F4">
        <w:rPr>
          <w:rFonts w:cs="Arial"/>
          <w:bCs/>
        </w:rPr>
        <w:t>ceived after</w:t>
      </w:r>
      <w:r w:rsidR="00070762">
        <w:rPr>
          <w:rFonts w:cs="Arial"/>
          <w:bCs/>
        </w:rPr>
        <w:t xml:space="preserve"> budget setting, bringing the net movemen</w:t>
      </w:r>
      <w:r w:rsidR="001F7015">
        <w:rPr>
          <w:rFonts w:cs="Arial"/>
          <w:bCs/>
        </w:rPr>
        <w:t xml:space="preserve">t between Q1 and </w:t>
      </w:r>
      <w:r w:rsidR="00525BD0">
        <w:rPr>
          <w:rFonts w:cs="Arial"/>
          <w:bCs/>
        </w:rPr>
        <w:t>Q</w:t>
      </w:r>
      <w:r w:rsidR="001F7015">
        <w:rPr>
          <w:rFonts w:cs="Arial"/>
          <w:bCs/>
        </w:rPr>
        <w:t>2</w:t>
      </w:r>
      <w:r w:rsidR="00070762">
        <w:rPr>
          <w:rFonts w:cs="Arial"/>
          <w:bCs/>
        </w:rPr>
        <w:t xml:space="preserve"> down to </w:t>
      </w:r>
      <w:r w:rsidR="00491DEC">
        <w:rPr>
          <w:rFonts w:cs="Arial"/>
          <w:b/>
          <w:bCs/>
        </w:rPr>
        <w:t>£0.</w:t>
      </w:r>
      <w:r w:rsidR="00CE0152">
        <w:rPr>
          <w:rFonts w:cs="Arial"/>
          <w:b/>
          <w:bCs/>
        </w:rPr>
        <w:t>361</w:t>
      </w:r>
      <w:r w:rsidR="00070762" w:rsidRPr="008C337C">
        <w:rPr>
          <w:rFonts w:cs="Arial"/>
          <w:b/>
          <w:bCs/>
        </w:rPr>
        <w:t>m.</w:t>
      </w:r>
    </w:p>
    <w:p w:rsidR="006E5920" w:rsidRDefault="006E5920" w:rsidP="008C337C">
      <w:pPr>
        <w:jc w:val="both"/>
        <w:rPr>
          <w:rFonts w:cs="Arial"/>
        </w:rPr>
      </w:pPr>
    </w:p>
    <w:p w:rsidR="006E5920" w:rsidRDefault="006E5920" w:rsidP="008C337C">
      <w:pPr>
        <w:jc w:val="both"/>
        <w:rPr>
          <w:rFonts w:cs="Arial"/>
        </w:rPr>
      </w:pPr>
    </w:p>
    <w:p w:rsidR="006E5920" w:rsidRDefault="006E5920" w:rsidP="008C337C">
      <w:pPr>
        <w:jc w:val="both"/>
        <w:rPr>
          <w:rFonts w:cs="Arial"/>
        </w:rPr>
      </w:pPr>
    </w:p>
    <w:p w:rsidR="009B2455" w:rsidRDefault="009B2455" w:rsidP="008C337C">
      <w:pPr>
        <w:jc w:val="both"/>
        <w:rPr>
          <w:rFonts w:cs="Arial"/>
        </w:rPr>
      </w:pPr>
    </w:p>
    <w:p w:rsidR="009B2455" w:rsidRDefault="009B2455" w:rsidP="008C337C">
      <w:pPr>
        <w:jc w:val="both"/>
        <w:rPr>
          <w:rFonts w:cs="Arial"/>
        </w:rPr>
      </w:pPr>
    </w:p>
    <w:p w:rsidR="009B2455" w:rsidRDefault="009B2455" w:rsidP="008C337C">
      <w:pPr>
        <w:jc w:val="both"/>
        <w:rPr>
          <w:rFonts w:cs="Arial"/>
        </w:rPr>
      </w:pPr>
    </w:p>
    <w:p w:rsidR="004D3EA8" w:rsidRDefault="004D3EA8" w:rsidP="00225A62">
      <w:pPr>
        <w:pStyle w:val="ListParagraph"/>
        <w:ind w:left="567"/>
        <w:rPr>
          <w:rFonts w:cs="Arial"/>
          <w:b/>
          <w:bCs/>
          <w:u w:val="single"/>
        </w:rPr>
      </w:pPr>
    </w:p>
    <w:p w:rsidR="00225A62" w:rsidRPr="00225A62" w:rsidRDefault="004D3EA8" w:rsidP="00225A62">
      <w:pPr>
        <w:pStyle w:val="ListParagraph"/>
        <w:ind w:left="567"/>
        <w:rPr>
          <w:rFonts w:cs="Arial"/>
          <w:b/>
          <w:bCs/>
          <w:u w:val="single"/>
        </w:rPr>
      </w:pPr>
      <w:r>
        <w:rPr>
          <w:rFonts w:cs="Arial"/>
          <w:b/>
          <w:bCs/>
          <w:u w:val="single"/>
        </w:rPr>
        <w:t xml:space="preserve"> </w:t>
      </w:r>
      <w:r w:rsidR="007140D3">
        <w:rPr>
          <w:rFonts w:cs="Arial"/>
          <w:b/>
          <w:bCs/>
          <w:u w:val="single"/>
        </w:rPr>
        <w:t>T</w:t>
      </w:r>
      <w:r w:rsidR="00225A62" w:rsidRPr="00225A62">
        <w:rPr>
          <w:rFonts w:cs="Arial"/>
          <w:b/>
          <w:bCs/>
          <w:u w:val="single"/>
        </w:rPr>
        <w:t xml:space="preserve">able </w:t>
      </w:r>
      <w:r w:rsidR="00AC39ED">
        <w:rPr>
          <w:rFonts w:cs="Arial"/>
          <w:b/>
          <w:bCs/>
          <w:u w:val="single"/>
        </w:rPr>
        <w:t>4</w:t>
      </w:r>
      <w:r w:rsidR="00225A62" w:rsidRPr="00225A62">
        <w:rPr>
          <w:rFonts w:cs="Arial"/>
          <w:b/>
          <w:bCs/>
          <w:u w:val="single"/>
        </w:rPr>
        <w:t>: People’s Directorate Variance</w:t>
      </w:r>
    </w:p>
    <w:tbl>
      <w:tblPr>
        <w:tblW w:w="8245" w:type="dxa"/>
        <w:tblInd w:w="794" w:type="dxa"/>
        <w:tblLayout w:type="fixed"/>
        <w:tblLook w:val="04A0" w:firstRow="1" w:lastRow="0" w:firstColumn="1" w:lastColumn="0" w:noHBand="0" w:noVBand="1"/>
      </w:tblPr>
      <w:tblGrid>
        <w:gridCol w:w="2420"/>
        <w:gridCol w:w="1856"/>
        <w:gridCol w:w="1701"/>
        <w:gridCol w:w="2268"/>
      </w:tblGrid>
      <w:tr w:rsidR="009B6EFE" w:rsidRPr="00225A62" w:rsidTr="008C337C">
        <w:trPr>
          <w:trHeight w:val="338"/>
        </w:trPr>
        <w:tc>
          <w:tcPr>
            <w:tcW w:w="2420" w:type="dxa"/>
            <w:vMerge w:val="restart"/>
            <w:tcBorders>
              <w:top w:val="single" w:sz="8" w:space="0" w:color="auto"/>
              <w:left w:val="single" w:sz="8" w:space="0" w:color="auto"/>
              <w:bottom w:val="nil"/>
              <w:right w:val="single" w:sz="8" w:space="0" w:color="auto"/>
            </w:tcBorders>
            <w:shd w:val="clear" w:color="auto" w:fill="auto"/>
            <w:vAlign w:val="center"/>
            <w:hideMark/>
          </w:tcPr>
          <w:p w:rsidR="009B6EFE" w:rsidRPr="00225A62" w:rsidRDefault="009B6EFE" w:rsidP="00225A62">
            <w:pPr>
              <w:pStyle w:val="ListParagraph"/>
              <w:ind w:left="567"/>
              <w:rPr>
                <w:rFonts w:cs="Arial"/>
                <w:bCs/>
              </w:rPr>
            </w:pPr>
            <w:r w:rsidRPr="00225A62">
              <w:rPr>
                <w:rFonts w:cs="Arial"/>
                <w:bCs/>
              </w:rPr>
              <w:t> </w:t>
            </w:r>
          </w:p>
        </w:tc>
        <w:tc>
          <w:tcPr>
            <w:tcW w:w="1856" w:type="dxa"/>
            <w:tcBorders>
              <w:top w:val="single" w:sz="8" w:space="0" w:color="auto"/>
              <w:left w:val="nil"/>
              <w:bottom w:val="nil"/>
              <w:right w:val="single" w:sz="8" w:space="0" w:color="auto"/>
            </w:tcBorders>
            <w:shd w:val="clear" w:color="auto" w:fill="auto"/>
            <w:vAlign w:val="center"/>
          </w:tcPr>
          <w:p w:rsidR="001335F4" w:rsidRDefault="00255827" w:rsidP="008C337C">
            <w:pPr>
              <w:rPr>
                <w:rFonts w:cs="Arial"/>
                <w:bCs/>
              </w:rPr>
            </w:pPr>
            <w:r>
              <w:rPr>
                <w:rFonts w:cs="Arial"/>
                <w:bCs/>
              </w:rPr>
              <w:t xml:space="preserve">  </w:t>
            </w:r>
          </w:p>
          <w:p w:rsidR="001335F4" w:rsidRDefault="001335F4" w:rsidP="008C337C">
            <w:pPr>
              <w:rPr>
                <w:rFonts w:cs="Arial"/>
                <w:bCs/>
              </w:rPr>
            </w:pPr>
          </w:p>
          <w:p w:rsidR="00A23060" w:rsidRPr="000E3FBF" w:rsidRDefault="00255827" w:rsidP="008C337C">
            <w:pPr>
              <w:rPr>
                <w:rFonts w:cs="Arial"/>
                <w:bCs/>
              </w:rPr>
            </w:pPr>
            <w:r>
              <w:rPr>
                <w:rFonts w:cs="Arial"/>
                <w:bCs/>
              </w:rPr>
              <w:t xml:space="preserve"> </w:t>
            </w:r>
            <w:r w:rsidR="001335F4">
              <w:rPr>
                <w:rFonts w:cs="Arial"/>
                <w:bCs/>
              </w:rPr>
              <w:t xml:space="preserve">  </w:t>
            </w:r>
            <w:r w:rsidR="00A23060" w:rsidRPr="003D5622">
              <w:rPr>
                <w:rFonts w:cs="Arial"/>
                <w:bCs/>
              </w:rPr>
              <w:t xml:space="preserve">Quarter </w:t>
            </w:r>
            <w:r w:rsidR="00BF32B3" w:rsidRPr="00C523F9">
              <w:rPr>
                <w:rFonts w:cs="Arial"/>
                <w:bCs/>
              </w:rPr>
              <w:t>2</w:t>
            </w:r>
          </w:p>
          <w:p w:rsidR="00255827" w:rsidRDefault="00255827" w:rsidP="008C337C">
            <w:pPr>
              <w:rPr>
                <w:rFonts w:cs="Arial"/>
                <w:bCs/>
              </w:rPr>
            </w:pPr>
            <w:r>
              <w:rPr>
                <w:rFonts w:cs="Arial"/>
                <w:bCs/>
              </w:rPr>
              <w:t xml:space="preserve">    </w:t>
            </w:r>
            <w:r w:rsidR="00A23060" w:rsidRPr="003D5622">
              <w:rPr>
                <w:rFonts w:cs="Arial"/>
                <w:bCs/>
              </w:rPr>
              <w:t>Varianc</w:t>
            </w:r>
            <w:r>
              <w:rPr>
                <w:rFonts w:cs="Arial"/>
                <w:bCs/>
              </w:rPr>
              <w:t>e</w:t>
            </w:r>
          </w:p>
          <w:p w:rsidR="001335F4" w:rsidRDefault="00A23060" w:rsidP="008C337C">
            <w:pPr>
              <w:rPr>
                <w:rFonts w:cs="Arial"/>
                <w:bCs/>
              </w:rPr>
            </w:pPr>
            <w:r w:rsidRPr="000E3FBF">
              <w:rPr>
                <w:rFonts w:cs="Arial"/>
                <w:bCs/>
              </w:rPr>
              <w:t xml:space="preserve"> </w:t>
            </w:r>
            <w:r w:rsidR="00255827">
              <w:rPr>
                <w:rFonts w:cs="Arial"/>
                <w:bCs/>
              </w:rPr>
              <w:t xml:space="preserve">  </w:t>
            </w:r>
            <w:r w:rsidRPr="003D5622">
              <w:rPr>
                <w:rFonts w:cs="Arial"/>
                <w:bCs/>
              </w:rPr>
              <w:t xml:space="preserve">  </w:t>
            </w:r>
          </w:p>
          <w:p w:rsidR="009B6EFE" w:rsidRPr="00C523F9" w:rsidRDefault="001335F4" w:rsidP="008C337C">
            <w:pPr>
              <w:rPr>
                <w:rFonts w:cs="Arial"/>
                <w:bCs/>
              </w:rPr>
            </w:pPr>
            <w:r>
              <w:rPr>
                <w:rFonts w:cs="Arial"/>
                <w:bCs/>
              </w:rPr>
              <w:t xml:space="preserve">      </w:t>
            </w:r>
            <w:r w:rsidR="00A23060" w:rsidRPr="003D5622">
              <w:rPr>
                <w:rFonts w:cs="Arial"/>
                <w:bCs/>
              </w:rPr>
              <w:t>£’000</w:t>
            </w:r>
          </w:p>
        </w:tc>
        <w:tc>
          <w:tcPr>
            <w:tcW w:w="1701" w:type="dxa"/>
            <w:tcBorders>
              <w:top w:val="single" w:sz="8" w:space="0" w:color="auto"/>
              <w:left w:val="nil"/>
              <w:bottom w:val="nil"/>
              <w:right w:val="single" w:sz="8" w:space="0" w:color="auto"/>
            </w:tcBorders>
            <w:vAlign w:val="center"/>
          </w:tcPr>
          <w:p w:rsidR="00155D84" w:rsidRDefault="00155D84" w:rsidP="00A23060">
            <w:pPr>
              <w:jc w:val="center"/>
              <w:rPr>
                <w:rFonts w:cs="Arial"/>
              </w:rPr>
            </w:pPr>
          </w:p>
          <w:p w:rsidR="001335F4" w:rsidRDefault="001335F4" w:rsidP="00A23060">
            <w:pPr>
              <w:jc w:val="center"/>
              <w:rPr>
                <w:rFonts w:cs="Arial"/>
              </w:rPr>
            </w:pPr>
          </w:p>
          <w:p w:rsidR="00A23060" w:rsidRDefault="00255827" w:rsidP="00A23060">
            <w:pPr>
              <w:jc w:val="center"/>
              <w:rPr>
                <w:rFonts w:cs="Arial"/>
              </w:rPr>
            </w:pPr>
            <w:r>
              <w:rPr>
                <w:rFonts w:cs="Arial"/>
              </w:rPr>
              <w:t xml:space="preserve">Quarter </w:t>
            </w:r>
            <w:r w:rsidR="00BF32B3">
              <w:rPr>
                <w:rFonts w:cs="Arial"/>
              </w:rPr>
              <w:t>1</w:t>
            </w:r>
          </w:p>
          <w:p w:rsidR="00A23060" w:rsidRPr="00760154" w:rsidRDefault="00A23060" w:rsidP="00A23060">
            <w:pPr>
              <w:jc w:val="center"/>
              <w:rPr>
                <w:rFonts w:cs="Arial"/>
              </w:rPr>
            </w:pPr>
            <w:r>
              <w:rPr>
                <w:rFonts w:cs="Arial"/>
              </w:rPr>
              <w:t>Variance</w:t>
            </w:r>
          </w:p>
          <w:p w:rsidR="009B6EFE" w:rsidRPr="00225A62" w:rsidRDefault="00A23060" w:rsidP="00A23060">
            <w:pPr>
              <w:pStyle w:val="ListParagraph"/>
              <w:ind w:left="567"/>
              <w:rPr>
                <w:rFonts w:cs="Arial"/>
                <w:bCs/>
              </w:rPr>
            </w:pPr>
            <w:r>
              <w:rPr>
                <w:rFonts w:cs="Arial"/>
              </w:rPr>
              <w:t xml:space="preserve">     </w:t>
            </w:r>
            <w:r w:rsidRPr="00760154">
              <w:rPr>
                <w:rFonts w:cs="Arial"/>
              </w:rPr>
              <w:t>£’000</w:t>
            </w:r>
          </w:p>
        </w:tc>
        <w:tc>
          <w:tcPr>
            <w:tcW w:w="2268" w:type="dxa"/>
            <w:tcBorders>
              <w:top w:val="single" w:sz="8" w:space="0" w:color="auto"/>
              <w:left w:val="nil"/>
              <w:bottom w:val="nil"/>
              <w:right w:val="single" w:sz="8" w:space="0" w:color="auto"/>
            </w:tcBorders>
          </w:tcPr>
          <w:p w:rsidR="00155D84" w:rsidRDefault="00155D84" w:rsidP="00A23060">
            <w:pPr>
              <w:jc w:val="center"/>
              <w:rPr>
                <w:rFonts w:cs="Arial"/>
              </w:rPr>
            </w:pPr>
          </w:p>
          <w:p w:rsidR="00A23060" w:rsidRDefault="00A23060" w:rsidP="00A23060">
            <w:pPr>
              <w:jc w:val="center"/>
              <w:rPr>
                <w:rFonts w:cs="Arial"/>
              </w:rPr>
            </w:pPr>
            <w:r w:rsidRPr="00E534B8">
              <w:rPr>
                <w:rFonts w:cs="Arial"/>
              </w:rPr>
              <w:t xml:space="preserve">Movement between Quarter </w:t>
            </w:r>
            <w:r w:rsidR="001F7015">
              <w:rPr>
                <w:rFonts w:cs="Arial"/>
              </w:rPr>
              <w:t>1</w:t>
            </w:r>
            <w:r w:rsidRPr="00E534B8">
              <w:rPr>
                <w:rFonts w:cs="Arial"/>
              </w:rPr>
              <w:t xml:space="preserve"> and </w:t>
            </w:r>
            <w:r w:rsidR="001F7015">
              <w:rPr>
                <w:rFonts w:cs="Arial"/>
              </w:rPr>
              <w:t xml:space="preserve">Quarter 2 </w:t>
            </w:r>
            <w:r>
              <w:rPr>
                <w:rFonts w:cs="Arial"/>
              </w:rPr>
              <w:t>Variance</w:t>
            </w:r>
          </w:p>
          <w:p w:rsidR="009B6EFE" w:rsidRPr="00225A62" w:rsidRDefault="00A23060" w:rsidP="00BC03D5">
            <w:pPr>
              <w:pStyle w:val="ListParagraph"/>
              <w:ind w:left="567"/>
              <w:jc w:val="both"/>
              <w:rPr>
                <w:rFonts w:cs="Arial"/>
                <w:bCs/>
              </w:rPr>
            </w:pPr>
            <w:r>
              <w:rPr>
                <w:rFonts w:cs="Arial"/>
              </w:rPr>
              <w:t>£’000</w:t>
            </w:r>
          </w:p>
        </w:tc>
      </w:tr>
      <w:tr w:rsidR="009B6EFE" w:rsidRPr="00225A62" w:rsidTr="008C337C">
        <w:trPr>
          <w:trHeight w:val="51"/>
        </w:trPr>
        <w:tc>
          <w:tcPr>
            <w:tcW w:w="2420" w:type="dxa"/>
            <w:vMerge/>
            <w:tcBorders>
              <w:top w:val="single" w:sz="8" w:space="0" w:color="auto"/>
              <w:left w:val="single" w:sz="8" w:space="0" w:color="auto"/>
              <w:bottom w:val="nil"/>
              <w:right w:val="single" w:sz="8" w:space="0" w:color="auto"/>
            </w:tcBorders>
            <w:vAlign w:val="center"/>
            <w:hideMark/>
          </w:tcPr>
          <w:p w:rsidR="009B6EFE" w:rsidRPr="00225A62" w:rsidRDefault="009B6EFE" w:rsidP="00225A62">
            <w:pPr>
              <w:pStyle w:val="ListParagraph"/>
              <w:ind w:left="567"/>
              <w:rPr>
                <w:rFonts w:cs="Arial"/>
                <w:bCs/>
              </w:rPr>
            </w:pPr>
          </w:p>
        </w:tc>
        <w:tc>
          <w:tcPr>
            <w:tcW w:w="1856" w:type="dxa"/>
            <w:tcBorders>
              <w:top w:val="nil"/>
              <w:left w:val="nil"/>
              <w:bottom w:val="single" w:sz="8" w:space="0" w:color="auto"/>
              <w:right w:val="single" w:sz="8" w:space="0" w:color="auto"/>
            </w:tcBorders>
            <w:shd w:val="clear" w:color="auto" w:fill="auto"/>
            <w:vAlign w:val="center"/>
          </w:tcPr>
          <w:p w:rsidR="009B6EFE" w:rsidRPr="00225A62" w:rsidRDefault="009B6EFE" w:rsidP="00225A62">
            <w:pPr>
              <w:pStyle w:val="ListParagraph"/>
              <w:ind w:left="567"/>
              <w:rPr>
                <w:rFonts w:cs="Arial"/>
                <w:bCs/>
              </w:rPr>
            </w:pPr>
          </w:p>
        </w:tc>
        <w:tc>
          <w:tcPr>
            <w:tcW w:w="1701" w:type="dxa"/>
            <w:tcBorders>
              <w:top w:val="nil"/>
              <w:left w:val="nil"/>
              <w:bottom w:val="single" w:sz="8" w:space="0" w:color="auto"/>
              <w:right w:val="single" w:sz="8" w:space="0" w:color="auto"/>
            </w:tcBorders>
            <w:vAlign w:val="center"/>
          </w:tcPr>
          <w:p w:rsidR="009B6EFE" w:rsidRPr="00225A62" w:rsidRDefault="009B6EFE" w:rsidP="009B6EFE">
            <w:pPr>
              <w:pStyle w:val="ListParagraph"/>
              <w:ind w:left="567"/>
              <w:rPr>
                <w:rFonts w:cs="Arial"/>
                <w:bCs/>
              </w:rPr>
            </w:pPr>
          </w:p>
        </w:tc>
        <w:tc>
          <w:tcPr>
            <w:tcW w:w="2268" w:type="dxa"/>
            <w:tcBorders>
              <w:top w:val="nil"/>
              <w:left w:val="nil"/>
              <w:bottom w:val="single" w:sz="8" w:space="0" w:color="auto"/>
              <w:right w:val="single" w:sz="8" w:space="0" w:color="auto"/>
            </w:tcBorders>
          </w:tcPr>
          <w:p w:rsidR="009B6EFE" w:rsidRPr="00225A62" w:rsidRDefault="009B6EFE" w:rsidP="00225A62">
            <w:pPr>
              <w:pStyle w:val="ListParagraph"/>
              <w:ind w:left="567"/>
              <w:rPr>
                <w:rFonts w:cs="Arial"/>
                <w:bCs/>
              </w:rPr>
            </w:pPr>
          </w:p>
        </w:tc>
      </w:tr>
      <w:tr w:rsidR="009B6EFE" w:rsidRPr="00225A62" w:rsidTr="008C337C">
        <w:trPr>
          <w:trHeight w:val="18"/>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9B6EFE" w:rsidRPr="00646DA7" w:rsidRDefault="009B6EFE" w:rsidP="0094250E">
            <w:pPr>
              <w:rPr>
                <w:rFonts w:cs="Arial"/>
                <w:bCs/>
              </w:rPr>
            </w:pPr>
          </w:p>
        </w:tc>
        <w:tc>
          <w:tcPr>
            <w:tcW w:w="1856" w:type="dxa"/>
            <w:tcBorders>
              <w:top w:val="nil"/>
              <w:left w:val="nil"/>
              <w:bottom w:val="single" w:sz="8" w:space="0" w:color="auto"/>
              <w:right w:val="single" w:sz="8" w:space="0" w:color="auto"/>
            </w:tcBorders>
            <w:shd w:val="clear" w:color="auto" w:fill="auto"/>
            <w:vAlign w:val="center"/>
          </w:tcPr>
          <w:p w:rsidR="009B6EFE" w:rsidRPr="00225A62" w:rsidRDefault="009B6EFE" w:rsidP="00225A62">
            <w:pPr>
              <w:pStyle w:val="ListParagraph"/>
              <w:ind w:left="567"/>
              <w:rPr>
                <w:rFonts w:cs="Arial"/>
                <w:bCs/>
              </w:rPr>
            </w:pPr>
            <w:r w:rsidRPr="00225A62">
              <w:rPr>
                <w:rFonts w:cs="Arial"/>
                <w:bCs/>
              </w:rPr>
              <w:t xml:space="preserve">   </w:t>
            </w:r>
          </w:p>
        </w:tc>
        <w:tc>
          <w:tcPr>
            <w:tcW w:w="1701" w:type="dxa"/>
            <w:tcBorders>
              <w:top w:val="nil"/>
              <w:left w:val="nil"/>
              <w:bottom w:val="single" w:sz="8" w:space="0" w:color="auto"/>
              <w:right w:val="single" w:sz="8" w:space="0" w:color="auto"/>
            </w:tcBorders>
          </w:tcPr>
          <w:p w:rsidR="009B6EFE" w:rsidRPr="00225A62" w:rsidRDefault="009B6EFE" w:rsidP="00225A62">
            <w:pPr>
              <w:pStyle w:val="ListParagraph"/>
              <w:ind w:left="567"/>
              <w:rPr>
                <w:rFonts w:cs="Arial"/>
                <w:bCs/>
              </w:rPr>
            </w:pPr>
          </w:p>
        </w:tc>
        <w:tc>
          <w:tcPr>
            <w:tcW w:w="2268" w:type="dxa"/>
            <w:tcBorders>
              <w:top w:val="nil"/>
              <w:left w:val="nil"/>
              <w:bottom w:val="single" w:sz="8" w:space="0" w:color="auto"/>
              <w:right w:val="single" w:sz="8" w:space="0" w:color="auto"/>
            </w:tcBorders>
          </w:tcPr>
          <w:p w:rsidR="009B6EFE" w:rsidRPr="00225A62" w:rsidRDefault="009B6EFE" w:rsidP="00225A62">
            <w:pPr>
              <w:pStyle w:val="ListParagraph"/>
              <w:ind w:left="567"/>
              <w:rPr>
                <w:rFonts w:cs="Arial"/>
                <w:bCs/>
              </w:rPr>
            </w:pPr>
          </w:p>
        </w:tc>
      </w:tr>
      <w:tr w:rsidR="009B6EFE" w:rsidRPr="00225A62" w:rsidTr="008C337C">
        <w:trPr>
          <w:trHeight w:val="9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9B6EFE" w:rsidRPr="00A50A0E" w:rsidRDefault="009B6EFE" w:rsidP="008C337C">
            <w:pPr>
              <w:rPr>
                <w:rFonts w:cs="Arial"/>
                <w:bCs/>
              </w:rPr>
            </w:pPr>
            <w:r w:rsidRPr="004C510E">
              <w:rPr>
                <w:rFonts w:cs="Arial"/>
                <w:bCs/>
              </w:rPr>
              <w:t>Adult</w:t>
            </w:r>
          </w:p>
        </w:tc>
        <w:tc>
          <w:tcPr>
            <w:tcW w:w="1856" w:type="dxa"/>
            <w:tcBorders>
              <w:top w:val="nil"/>
              <w:left w:val="nil"/>
              <w:bottom w:val="single" w:sz="8" w:space="0" w:color="auto"/>
              <w:right w:val="single" w:sz="8" w:space="0" w:color="auto"/>
            </w:tcBorders>
            <w:shd w:val="clear" w:color="auto" w:fill="auto"/>
            <w:vAlign w:val="center"/>
            <w:hideMark/>
          </w:tcPr>
          <w:p w:rsidR="009B6EFE" w:rsidRPr="00225A62" w:rsidRDefault="009B6EFE">
            <w:pPr>
              <w:pStyle w:val="ListParagraph"/>
              <w:ind w:left="567"/>
              <w:rPr>
                <w:rFonts w:cs="Arial"/>
                <w:bCs/>
              </w:rPr>
            </w:pPr>
            <w:r w:rsidRPr="00225A62">
              <w:rPr>
                <w:rFonts w:cs="Arial"/>
                <w:bCs/>
              </w:rPr>
              <w:t xml:space="preserve"> </w:t>
            </w:r>
            <w:r w:rsidR="006A7CC1">
              <w:rPr>
                <w:rFonts w:cs="Arial"/>
                <w:bCs/>
              </w:rPr>
              <w:t>5.022</w:t>
            </w:r>
          </w:p>
        </w:tc>
        <w:tc>
          <w:tcPr>
            <w:tcW w:w="1701" w:type="dxa"/>
            <w:tcBorders>
              <w:top w:val="nil"/>
              <w:left w:val="nil"/>
              <w:bottom w:val="single" w:sz="8" w:space="0" w:color="auto"/>
              <w:right w:val="single" w:sz="8" w:space="0" w:color="auto"/>
            </w:tcBorders>
          </w:tcPr>
          <w:p w:rsidR="009B6EFE" w:rsidRPr="00225A62" w:rsidRDefault="00A23060" w:rsidP="00225A62">
            <w:pPr>
              <w:pStyle w:val="ListParagraph"/>
              <w:ind w:left="567"/>
              <w:rPr>
                <w:rFonts w:cs="Arial"/>
                <w:bCs/>
              </w:rPr>
            </w:pPr>
            <w:r>
              <w:rPr>
                <w:rFonts w:cs="Arial"/>
                <w:bCs/>
              </w:rPr>
              <w:t>2.521</w:t>
            </w:r>
          </w:p>
        </w:tc>
        <w:tc>
          <w:tcPr>
            <w:tcW w:w="2268" w:type="dxa"/>
            <w:tcBorders>
              <w:top w:val="nil"/>
              <w:left w:val="nil"/>
              <w:bottom w:val="single" w:sz="8" w:space="0" w:color="auto"/>
              <w:right w:val="single" w:sz="8" w:space="0" w:color="auto"/>
            </w:tcBorders>
          </w:tcPr>
          <w:p w:rsidR="009B6EFE" w:rsidRPr="00225A62" w:rsidRDefault="00EB72C6">
            <w:pPr>
              <w:pStyle w:val="ListParagraph"/>
              <w:ind w:left="567"/>
              <w:rPr>
                <w:rFonts w:cs="Arial"/>
                <w:bCs/>
              </w:rPr>
            </w:pPr>
            <w:r>
              <w:rPr>
                <w:rFonts w:cs="Arial"/>
                <w:bCs/>
              </w:rPr>
              <w:t xml:space="preserve"> </w:t>
            </w:r>
            <w:r w:rsidR="006A7CC1">
              <w:rPr>
                <w:rFonts w:cs="Arial"/>
                <w:bCs/>
              </w:rPr>
              <w:t>2.501</w:t>
            </w:r>
          </w:p>
        </w:tc>
      </w:tr>
      <w:tr w:rsidR="006A7CC1" w:rsidRPr="00225A62" w:rsidTr="006A7CC1">
        <w:trPr>
          <w:trHeight w:val="242"/>
        </w:trPr>
        <w:tc>
          <w:tcPr>
            <w:tcW w:w="2420" w:type="dxa"/>
            <w:tcBorders>
              <w:top w:val="nil"/>
              <w:left w:val="single" w:sz="8" w:space="0" w:color="auto"/>
              <w:bottom w:val="single" w:sz="8" w:space="0" w:color="auto"/>
              <w:right w:val="single" w:sz="8" w:space="0" w:color="auto"/>
            </w:tcBorders>
            <w:shd w:val="clear" w:color="auto" w:fill="auto"/>
            <w:vAlign w:val="center"/>
          </w:tcPr>
          <w:p w:rsidR="006A7CC1" w:rsidRDefault="006A7CC1" w:rsidP="0094250E">
            <w:pPr>
              <w:rPr>
                <w:rFonts w:cs="Arial"/>
                <w:bCs/>
              </w:rPr>
            </w:pPr>
            <w:r>
              <w:rPr>
                <w:rFonts w:cs="Arial"/>
                <w:bCs/>
              </w:rPr>
              <w:t>Adult Social Care</w:t>
            </w:r>
            <w:r w:rsidR="00255827">
              <w:rPr>
                <w:rFonts w:cs="Arial"/>
                <w:bCs/>
              </w:rPr>
              <w:t xml:space="preserve"> Funding</w:t>
            </w:r>
            <w:r>
              <w:rPr>
                <w:rFonts w:cs="Arial"/>
                <w:bCs/>
              </w:rPr>
              <w:t xml:space="preserve"> </w:t>
            </w:r>
          </w:p>
        </w:tc>
        <w:tc>
          <w:tcPr>
            <w:tcW w:w="1856" w:type="dxa"/>
            <w:tcBorders>
              <w:top w:val="nil"/>
              <w:left w:val="nil"/>
              <w:bottom w:val="single" w:sz="8" w:space="0" w:color="auto"/>
              <w:right w:val="single" w:sz="8" w:space="0" w:color="auto"/>
            </w:tcBorders>
            <w:shd w:val="clear" w:color="auto" w:fill="auto"/>
            <w:vAlign w:val="center"/>
          </w:tcPr>
          <w:p w:rsidR="006A7CC1" w:rsidRDefault="006A7CC1">
            <w:pPr>
              <w:pStyle w:val="ListParagraph"/>
              <w:ind w:left="567"/>
              <w:rPr>
                <w:rFonts w:cs="Arial"/>
                <w:bCs/>
              </w:rPr>
            </w:pPr>
            <w:r>
              <w:rPr>
                <w:rFonts w:cs="Arial"/>
                <w:bCs/>
              </w:rPr>
              <w:t>(1.576)</w:t>
            </w:r>
          </w:p>
        </w:tc>
        <w:tc>
          <w:tcPr>
            <w:tcW w:w="1701" w:type="dxa"/>
            <w:tcBorders>
              <w:top w:val="nil"/>
              <w:left w:val="nil"/>
              <w:bottom w:val="single" w:sz="8" w:space="0" w:color="auto"/>
              <w:right w:val="single" w:sz="8" w:space="0" w:color="auto"/>
            </w:tcBorders>
          </w:tcPr>
          <w:p w:rsidR="00621E7A" w:rsidRDefault="006A7CC1" w:rsidP="00225A62">
            <w:pPr>
              <w:pStyle w:val="ListParagraph"/>
              <w:ind w:left="567"/>
              <w:rPr>
                <w:rFonts w:cs="Arial"/>
                <w:bCs/>
              </w:rPr>
            </w:pPr>
            <w:r>
              <w:rPr>
                <w:rFonts w:cs="Arial"/>
                <w:bCs/>
              </w:rPr>
              <w:t xml:space="preserve"> </w:t>
            </w:r>
          </w:p>
          <w:p w:rsidR="006A7CC1" w:rsidRDefault="006A7CC1" w:rsidP="00225A62">
            <w:pPr>
              <w:pStyle w:val="ListParagraph"/>
              <w:ind w:left="567"/>
              <w:rPr>
                <w:rFonts w:cs="Arial"/>
                <w:bCs/>
              </w:rPr>
            </w:pPr>
            <w:r>
              <w:rPr>
                <w:rFonts w:cs="Arial"/>
                <w:bCs/>
              </w:rPr>
              <w:t xml:space="preserve">  -</w:t>
            </w:r>
          </w:p>
        </w:tc>
        <w:tc>
          <w:tcPr>
            <w:tcW w:w="2268" w:type="dxa"/>
            <w:tcBorders>
              <w:top w:val="nil"/>
              <w:left w:val="nil"/>
              <w:bottom w:val="single" w:sz="8" w:space="0" w:color="auto"/>
              <w:right w:val="single" w:sz="8" w:space="0" w:color="auto"/>
            </w:tcBorders>
          </w:tcPr>
          <w:p w:rsidR="00621E7A" w:rsidRDefault="00621E7A" w:rsidP="00225A62">
            <w:pPr>
              <w:pStyle w:val="ListParagraph"/>
              <w:ind w:left="567"/>
              <w:rPr>
                <w:rFonts w:cs="Arial"/>
                <w:bCs/>
              </w:rPr>
            </w:pPr>
          </w:p>
          <w:p w:rsidR="006A7CC1" w:rsidRDefault="006A7CC1" w:rsidP="00225A62">
            <w:pPr>
              <w:pStyle w:val="ListParagraph"/>
              <w:ind w:left="567"/>
              <w:rPr>
                <w:rFonts w:cs="Arial"/>
                <w:bCs/>
              </w:rPr>
            </w:pPr>
            <w:r>
              <w:rPr>
                <w:rFonts w:cs="Arial"/>
                <w:bCs/>
              </w:rPr>
              <w:t>(1.576)</w:t>
            </w:r>
          </w:p>
        </w:tc>
      </w:tr>
      <w:tr w:rsidR="009B6EFE" w:rsidRPr="00225A62" w:rsidTr="008C337C">
        <w:trPr>
          <w:trHeight w:val="381"/>
        </w:trPr>
        <w:tc>
          <w:tcPr>
            <w:tcW w:w="2420" w:type="dxa"/>
            <w:tcBorders>
              <w:top w:val="nil"/>
              <w:left w:val="single" w:sz="8" w:space="0" w:color="auto"/>
              <w:bottom w:val="single" w:sz="8" w:space="0" w:color="auto"/>
              <w:right w:val="single" w:sz="8" w:space="0" w:color="auto"/>
            </w:tcBorders>
            <w:shd w:val="clear" w:color="auto" w:fill="auto"/>
            <w:vAlign w:val="center"/>
          </w:tcPr>
          <w:p w:rsidR="00915553" w:rsidRDefault="009B6EFE" w:rsidP="0094250E">
            <w:pPr>
              <w:rPr>
                <w:rFonts w:cs="Arial"/>
                <w:bCs/>
              </w:rPr>
            </w:pPr>
            <w:r>
              <w:rPr>
                <w:rFonts w:cs="Arial"/>
                <w:bCs/>
              </w:rPr>
              <w:t xml:space="preserve"> </w:t>
            </w:r>
          </w:p>
          <w:p w:rsidR="009B6EFE" w:rsidRPr="00646DA7" w:rsidRDefault="009B6EFE" w:rsidP="0094250E">
            <w:pPr>
              <w:rPr>
                <w:rFonts w:cs="Arial"/>
                <w:bCs/>
              </w:rPr>
            </w:pPr>
            <w:r>
              <w:rPr>
                <w:rFonts w:cs="Arial"/>
                <w:bCs/>
              </w:rPr>
              <w:t>Public Health</w:t>
            </w:r>
          </w:p>
        </w:tc>
        <w:tc>
          <w:tcPr>
            <w:tcW w:w="1856" w:type="dxa"/>
            <w:tcBorders>
              <w:top w:val="nil"/>
              <w:left w:val="nil"/>
              <w:bottom w:val="single" w:sz="8" w:space="0" w:color="auto"/>
              <w:right w:val="single" w:sz="8" w:space="0" w:color="auto"/>
            </w:tcBorders>
            <w:shd w:val="clear" w:color="auto" w:fill="auto"/>
            <w:vAlign w:val="center"/>
          </w:tcPr>
          <w:p w:rsidR="009B6EFE" w:rsidRPr="00225A62" w:rsidRDefault="009B6EFE">
            <w:pPr>
              <w:pStyle w:val="ListParagraph"/>
              <w:ind w:left="567"/>
              <w:rPr>
                <w:rFonts w:cs="Arial"/>
                <w:bCs/>
              </w:rPr>
            </w:pPr>
            <w:r>
              <w:rPr>
                <w:rFonts w:cs="Arial"/>
                <w:bCs/>
              </w:rPr>
              <w:t xml:space="preserve">      </w:t>
            </w:r>
            <w:r w:rsidR="00811F8F">
              <w:rPr>
                <w:rFonts w:cs="Arial"/>
                <w:bCs/>
              </w:rPr>
              <w:t xml:space="preserve">     (0.</w:t>
            </w:r>
            <w:r w:rsidR="00CE0152">
              <w:rPr>
                <w:rFonts w:cs="Arial"/>
                <w:bCs/>
              </w:rPr>
              <w:t>2</w:t>
            </w:r>
            <w:r w:rsidR="00811F8F">
              <w:rPr>
                <w:rFonts w:cs="Arial"/>
                <w:bCs/>
              </w:rPr>
              <w:t>50</w:t>
            </w:r>
            <w:r w:rsidR="00BF32B3">
              <w:rPr>
                <w:rFonts w:cs="Arial"/>
                <w:bCs/>
              </w:rPr>
              <w:t>)</w:t>
            </w:r>
          </w:p>
        </w:tc>
        <w:tc>
          <w:tcPr>
            <w:tcW w:w="1701" w:type="dxa"/>
            <w:tcBorders>
              <w:top w:val="nil"/>
              <w:left w:val="nil"/>
              <w:bottom w:val="single" w:sz="8" w:space="0" w:color="auto"/>
              <w:right w:val="single" w:sz="8" w:space="0" w:color="auto"/>
            </w:tcBorders>
          </w:tcPr>
          <w:p w:rsidR="00915553" w:rsidRDefault="00EB72C6" w:rsidP="00225A62">
            <w:pPr>
              <w:pStyle w:val="ListParagraph"/>
              <w:ind w:left="567"/>
              <w:rPr>
                <w:rFonts w:cs="Arial"/>
                <w:bCs/>
              </w:rPr>
            </w:pPr>
            <w:r>
              <w:rPr>
                <w:rFonts w:cs="Arial"/>
                <w:bCs/>
              </w:rPr>
              <w:t xml:space="preserve"> </w:t>
            </w:r>
          </w:p>
          <w:p w:rsidR="009B6EFE" w:rsidRDefault="00EB72C6" w:rsidP="00225A62">
            <w:pPr>
              <w:pStyle w:val="ListParagraph"/>
              <w:ind w:left="567"/>
              <w:rPr>
                <w:rFonts w:cs="Arial"/>
                <w:bCs/>
              </w:rPr>
            </w:pPr>
            <w:r>
              <w:rPr>
                <w:rFonts w:cs="Arial"/>
                <w:bCs/>
              </w:rPr>
              <w:t xml:space="preserve">  </w:t>
            </w:r>
            <w:r w:rsidR="00A23060">
              <w:rPr>
                <w:rFonts w:cs="Arial"/>
                <w:bCs/>
              </w:rPr>
              <w:t>-</w:t>
            </w:r>
          </w:p>
        </w:tc>
        <w:tc>
          <w:tcPr>
            <w:tcW w:w="2268" w:type="dxa"/>
            <w:tcBorders>
              <w:top w:val="nil"/>
              <w:left w:val="nil"/>
              <w:bottom w:val="single" w:sz="8" w:space="0" w:color="auto"/>
              <w:right w:val="single" w:sz="8" w:space="0" w:color="auto"/>
            </w:tcBorders>
          </w:tcPr>
          <w:p w:rsidR="00915553" w:rsidRDefault="00915553" w:rsidP="00225A62">
            <w:pPr>
              <w:pStyle w:val="ListParagraph"/>
              <w:ind w:left="567"/>
              <w:rPr>
                <w:rFonts w:cs="Arial"/>
                <w:bCs/>
              </w:rPr>
            </w:pPr>
          </w:p>
          <w:p w:rsidR="009B6EFE" w:rsidRDefault="00EB72C6" w:rsidP="00225A62">
            <w:pPr>
              <w:pStyle w:val="ListParagraph"/>
              <w:ind w:left="567"/>
              <w:rPr>
                <w:rFonts w:cs="Arial"/>
                <w:bCs/>
              </w:rPr>
            </w:pPr>
            <w:r>
              <w:rPr>
                <w:rFonts w:cs="Arial"/>
                <w:bCs/>
              </w:rPr>
              <w:t xml:space="preserve"> </w:t>
            </w:r>
            <w:r w:rsidR="00811F8F">
              <w:rPr>
                <w:rFonts w:cs="Arial"/>
                <w:bCs/>
              </w:rPr>
              <w:t>(0.</w:t>
            </w:r>
            <w:r w:rsidR="00CE0152">
              <w:rPr>
                <w:rFonts w:cs="Arial"/>
                <w:bCs/>
              </w:rPr>
              <w:t>2</w:t>
            </w:r>
            <w:r w:rsidR="00811F8F">
              <w:rPr>
                <w:rFonts w:cs="Arial"/>
                <w:bCs/>
              </w:rPr>
              <w:t>50</w:t>
            </w:r>
            <w:r w:rsidR="00BF32B3">
              <w:rPr>
                <w:rFonts w:cs="Arial"/>
                <w:bCs/>
              </w:rPr>
              <w:t>)</w:t>
            </w:r>
          </w:p>
        </w:tc>
      </w:tr>
      <w:tr w:rsidR="009B6EFE" w:rsidRPr="00225A62" w:rsidTr="008C337C">
        <w:trPr>
          <w:trHeight w:val="9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9B6EFE" w:rsidRPr="00C523F9" w:rsidRDefault="009B6EFE" w:rsidP="008C337C">
            <w:pPr>
              <w:rPr>
                <w:rFonts w:cs="Arial"/>
                <w:bCs/>
              </w:rPr>
            </w:pPr>
            <w:r w:rsidRPr="003D5622">
              <w:rPr>
                <w:rFonts w:cs="Arial"/>
                <w:bCs/>
              </w:rPr>
              <w:t>Children</w:t>
            </w:r>
          </w:p>
        </w:tc>
        <w:tc>
          <w:tcPr>
            <w:tcW w:w="1856" w:type="dxa"/>
            <w:tcBorders>
              <w:top w:val="nil"/>
              <w:left w:val="nil"/>
              <w:bottom w:val="single" w:sz="8" w:space="0" w:color="auto"/>
              <w:right w:val="single" w:sz="8" w:space="0" w:color="auto"/>
            </w:tcBorders>
            <w:shd w:val="clear" w:color="auto" w:fill="auto"/>
            <w:vAlign w:val="center"/>
            <w:hideMark/>
          </w:tcPr>
          <w:p w:rsidR="009B6EFE" w:rsidRPr="00225A62" w:rsidRDefault="00491DEC" w:rsidP="00225A62">
            <w:pPr>
              <w:pStyle w:val="ListParagraph"/>
              <w:ind w:left="567"/>
              <w:rPr>
                <w:rFonts w:cs="Arial"/>
                <w:bCs/>
              </w:rPr>
            </w:pPr>
            <w:r>
              <w:rPr>
                <w:rFonts w:cs="Arial"/>
                <w:bCs/>
              </w:rPr>
              <w:t>(0.314</w:t>
            </w:r>
            <w:r w:rsidR="00BF32B3">
              <w:rPr>
                <w:rFonts w:cs="Arial"/>
                <w:bCs/>
              </w:rPr>
              <w:t>)</w:t>
            </w:r>
            <w:r w:rsidR="009B6EFE" w:rsidRPr="00225A62">
              <w:rPr>
                <w:rFonts w:cs="Arial"/>
                <w:bCs/>
              </w:rPr>
              <w:t xml:space="preserve"> </w:t>
            </w:r>
            <w:r w:rsidR="009B6EFE">
              <w:rPr>
                <w:rFonts w:cs="Arial"/>
                <w:bCs/>
              </w:rPr>
              <w:t xml:space="preserve">    </w:t>
            </w:r>
          </w:p>
        </w:tc>
        <w:tc>
          <w:tcPr>
            <w:tcW w:w="1701" w:type="dxa"/>
            <w:tcBorders>
              <w:top w:val="nil"/>
              <w:left w:val="nil"/>
              <w:bottom w:val="single" w:sz="8" w:space="0" w:color="auto"/>
              <w:right w:val="single" w:sz="8" w:space="0" w:color="auto"/>
            </w:tcBorders>
          </w:tcPr>
          <w:p w:rsidR="009B6EFE" w:rsidRPr="00225A62" w:rsidRDefault="00EB72C6" w:rsidP="00225A62">
            <w:pPr>
              <w:pStyle w:val="ListParagraph"/>
              <w:ind w:left="567"/>
              <w:rPr>
                <w:rFonts w:cs="Arial"/>
                <w:bCs/>
              </w:rPr>
            </w:pPr>
            <w:r>
              <w:rPr>
                <w:rFonts w:cs="Arial"/>
                <w:bCs/>
              </w:rPr>
              <w:t xml:space="preserve">   </w:t>
            </w:r>
            <w:r w:rsidR="00A23060">
              <w:rPr>
                <w:rFonts w:cs="Arial"/>
                <w:bCs/>
              </w:rPr>
              <w:t>-</w:t>
            </w:r>
          </w:p>
        </w:tc>
        <w:tc>
          <w:tcPr>
            <w:tcW w:w="2268" w:type="dxa"/>
            <w:tcBorders>
              <w:top w:val="nil"/>
              <w:left w:val="nil"/>
              <w:bottom w:val="single" w:sz="8" w:space="0" w:color="auto"/>
              <w:right w:val="single" w:sz="8" w:space="0" w:color="auto"/>
            </w:tcBorders>
          </w:tcPr>
          <w:p w:rsidR="009B6EFE" w:rsidRPr="00225A62" w:rsidRDefault="00EB72C6">
            <w:pPr>
              <w:pStyle w:val="ListParagraph"/>
              <w:ind w:left="567"/>
              <w:rPr>
                <w:rFonts w:cs="Arial"/>
                <w:bCs/>
              </w:rPr>
            </w:pPr>
            <w:r>
              <w:rPr>
                <w:rFonts w:cs="Arial"/>
                <w:bCs/>
              </w:rPr>
              <w:t xml:space="preserve"> </w:t>
            </w:r>
            <w:r w:rsidR="00491DEC">
              <w:rPr>
                <w:rFonts w:cs="Arial"/>
                <w:bCs/>
              </w:rPr>
              <w:t>(0.314</w:t>
            </w:r>
            <w:r w:rsidR="00BF32B3">
              <w:rPr>
                <w:rFonts w:cs="Arial"/>
                <w:bCs/>
              </w:rPr>
              <w:t>)</w:t>
            </w:r>
            <w:r>
              <w:rPr>
                <w:rFonts w:cs="Arial"/>
                <w:bCs/>
              </w:rPr>
              <w:t xml:space="preserve">   </w:t>
            </w:r>
          </w:p>
        </w:tc>
      </w:tr>
      <w:tr w:rsidR="009B6EFE" w:rsidRPr="00225A62" w:rsidTr="008C337C">
        <w:trPr>
          <w:trHeight w:val="18"/>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9B6EFE" w:rsidRPr="008C337C" w:rsidRDefault="009B6EFE" w:rsidP="008C337C">
            <w:pPr>
              <w:rPr>
                <w:rFonts w:cs="Arial"/>
                <w:b/>
                <w:bCs/>
              </w:rPr>
            </w:pPr>
            <w:r w:rsidRPr="008C337C">
              <w:rPr>
                <w:rFonts w:cs="Arial"/>
                <w:b/>
                <w:bCs/>
              </w:rPr>
              <w:t>Total</w:t>
            </w:r>
          </w:p>
        </w:tc>
        <w:tc>
          <w:tcPr>
            <w:tcW w:w="1856" w:type="dxa"/>
            <w:tcBorders>
              <w:top w:val="nil"/>
              <w:left w:val="nil"/>
              <w:bottom w:val="single" w:sz="8" w:space="0" w:color="auto"/>
              <w:right w:val="single" w:sz="8" w:space="0" w:color="auto"/>
            </w:tcBorders>
            <w:shd w:val="clear" w:color="auto" w:fill="auto"/>
            <w:vAlign w:val="center"/>
            <w:hideMark/>
          </w:tcPr>
          <w:p w:rsidR="009B6EFE" w:rsidRPr="00225A62" w:rsidRDefault="009B6EFE">
            <w:pPr>
              <w:pStyle w:val="ListParagraph"/>
              <w:ind w:left="567"/>
              <w:rPr>
                <w:rFonts w:cs="Arial"/>
                <w:b/>
                <w:bCs/>
              </w:rPr>
            </w:pPr>
            <w:r w:rsidRPr="00225A62">
              <w:rPr>
                <w:rFonts w:cs="Arial"/>
                <w:b/>
                <w:bCs/>
              </w:rPr>
              <w:t xml:space="preserve"> </w:t>
            </w:r>
            <w:r>
              <w:rPr>
                <w:rFonts w:cs="Arial"/>
                <w:b/>
                <w:bCs/>
              </w:rPr>
              <w:t>2.</w:t>
            </w:r>
            <w:r w:rsidR="00CE0152">
              <w:rPr>
                <w:rFonts w:cs="Arial"/>
                <w:b/>
                <w:bCs/>
              </w:rPr>
              <w:t>8</w:t>
            </w:r>
            <w:r w:rsidR="00491DEC">
              <w:rPr>
                <w:rFonts w:cs="Arial"/>
                <w:b/>
                <w:bCs/>
              </w:rPr>
              <w:t>82</w:t>
            </w:r>
          </w:p>
        </w:tc>
        <w:tc>
          <w:tcPr>
            <w:tcW w:w="1701" w:type="dxa"/>
            <w:tcBorders>
              <w:top w:val="nil"/>
              <w:left w:val="nil"/>
              <w:bottom w:val="single" w:sz="8" w:space="0" w:color="auto"/>
              <w:right w:val="single" w:sz="8" w:space="0" w:color="auto"/>
            </w:tcBorders>
          </w:tcPr>
          <w:p w:rsidR="009B6EFE" w:rsidRPr="00225A62" w:rsidRDefault="00BF32B3">
            <w:pPr>
              <w:pStyle w:val="ListParagraph"/>
              <w:ind w:left="567"/>
              <w:rPr>
                <w:rFonts w:cs="Arial"/>
                <w:b/>
                <w:bCs/>
              </w:rPr>
            </w:pPr>
            <w:r>
              <w:rPr>
                <w:rFonts w:cs="Arial"/>
                <w:b/>
                <w:bCs/>
              </w:rPr>
              <w:t>2.521</w:t>
            </w:r>
          </w:p>
        </w:tc>
        <w:tc>
          <w:tcPr>
            <w:tcW w:w="2268" w:type="dxa"/>
            <w:tcBorders>
              <w:top w:val="nil"/>
              <w:left w:val="nil"/>
              <w:bottom w:val="single" w:sz="8" w:space="0" w:color="auto"/>
              <w:right w:val="single" w:sz="8" w:space="0" w:color="auto"/>
            </w:tcBorders>
          </w:tcPr>
          <w:p w:rsidR="009B6EFE" w:rsidRPr="00225A62" w:rsidRDefault="00EB72C6" w:rsidP="00225A62">
            <w:pPr>
              <w:pStyle w:val="ListParagraph"/>
              <w:ind w:left="567"/>
              <w:rPr>
                <w:rFonts w:cs="Arial"/>
                <w:b/>
                <w:bCs/>
              </w:rPr>
            </w:pPr>
            <w:r>
              <w:rPr>
                <w:rFonts w:cs="Arial"/>
                <w:b/>
                <w:bCs/>
              </w:rPr>
              <w:t xml:space="preserve"> </w:t>
            </w:r>
            <w:r w:rsidR="00CE0152">
              <w:rPr>
                <w:rFonts w:cs="Arial"/>
                <w:b/>
                <w:bCs/>
              </w:rPr>
              <w:t xml:space="preserve"> 0.361</w:t>
            </w:r>
            <w:r w:rsidR="006C10C6">
              <w:rPr>
                <w:rFonts w:cs="Arial"/>
                <w:b/>
                <w:bCs/>
              </w:rPr>
              <w:t xml:space="preserve">  </w:t>
            </w:r>
          </w:p>
        </w:tc>
      </w:tr>
    </w:tbl>
    <w:p w:rsidR="00CA3F45" w:rsidRDefault="00CA3F45" w:rsidP="00225A62">
      <w:pPr>
        <w:pStyle w:val="ListParagraph"/>
        <w:ind w:left="360" w:right="304"/>
        <w:jc w:val="both"/>
        <w:rPr>
          <w:rFonts w:cs="Arial"/>
          <w:b/>
        </w:rPr>
      </w:pPr>
    </w:p>
    <w:p w:rsidR="00225A62" w:rsidRPr="008C337C" w:rsidRDefault="00225A62" w:rsidP="00225A62">
      <w:pPr>
        <w:pStyle w:val="ListParagraph"/>
        <w:ind w:left="360" w:right="304"/>
        <w:jc w:val="both"/>
        <w:rPr>
          <w:rFonts w:cs="Arial"/>
          <w:b/>
        </w:rPr>
      </w:pPr>
      <w:r w:rsidRPr="00225A62">
        <w:rPr>
          <w:rFonts w:cs="Arial"/>
          <w:b/>
        </w:rPr>
        <w:t xml:space="preserve"> </w:t>
      </w:r>
      <w:r w:rsidR="00241198">
        <w:rPr>
          <w:rFonts w:cs="Arial"/>
          <w:b/>
        </w:rPr>
        <w:t xml:space="preserve">  </w:t>
      </w:r>
      <w:r w:rsidRPr="00752646">
        <w:rPr>
          <w:rFonts w:cs="Arial"/>
          <w:b/>
        </w:rPr>
        <w:t>Adult Services</w:t>
      </w:r>
    </w:p>
    <w:p w:rsidR="0068102B" w:rsidRPr="00752646" w:rsidRDefault="0068102B" w:rsidP="00225A62">
      <w:pPr>
        <w:pStyle w:val="ListParagraph"/>
        <w:ind w:left="360" w:right="304"/>
        <w:jc w:val="both"/>
        <w:rPr>
          <w:rFonts w:cs="Arial"/>
          <w:b/>
        </w:rPr>
      </w:pPr>
    </w:p>
    <w:p w:rsidR="00752646" w:rsidRPr="008C337C" w:rsidRDefault="00ED7840" w:rsidP="00531831">
      <w:pPr>
        <w:pStyle w:val="ListParagraph"/>
        <w:numPr>
          <w:ilvl w:val="0"/>
          <w:numId w:val="173"/>
        </w:numPr>
        <w:ind w:left="567" w:hanging="567"/>
        <w:jc w:val="both"/>
        <w:rPr>
          <w:rFonts w:cs="Arial"/>
        </w:rPr>
      </w:pPr>
      <w:r w:rsidRPr="00752646">
        <w:rPr>
          <w:rFonts w:cs="Arial"/>
        </w:rPr>
        <w:t xml:space="preserve">The </w:t>
      </w:r>
      <w:r w:rsidR="00D926F7" w:rsidRPr="00752646">
        <w:rPr>
          <w:rFonts w:cs="Arial"/>
        </w:rPr>
        <w:t xml:space="preserve">Quarter </w:t>
      </w:r>
      <w:r w:rsidR="00BF32B3" w:rsidRPr="00752646">
        <w:rPr>
          <w:rFonts w:cs="Arial"/>
        </w:rPr>
        <w:t>2</w:t>
      </w:r>
      <w:r w:rsidRPr="00752646">
        <w:rPr>
          <w:rFonts w:cs="Arial"/>
        </w:rPr>
        <w:t xml:space="preserve"> Adults forecast is projecting </w:t>
      </w:r>
      <w:r w:rsidR="00752646" w:rsidRPr="008C337C">
        <w:rPr>
          <w:rFonts w:cs="Arial"/>
        </w:rPr>
        <w:t xml:space="preserve">gross over spend of  </w:t>
      </w:r>
      <w:r w:rsidR="00752646" w:rsidRPr="008C337C">
        <w:rPr>
          <w:rFonts w:cs="Arial"/>
          <w:b/>
        </w:rPr>
        <w:t>£5.022m</w:t>
      </w:r>
      <w:r w:rsidR="00752646" w:rsidRPr="008C337C">
        <w:rPr>
          <w:rFonts w:cs="Arial"/>
        </w:rPr>
        <w:t>,  reflecting increases anticipated in relation to winter pressures, inflationary uplifts and risks around delivery of mitigation to reduce the underlying overspend.  The gross pressure is reduced by in</w:t>
      </w:r>
      <w:r w:rsidR="00255827">
        <w:rPr>
          <w:rFonts w:cs="Arial"/>
        </w:rPr>
        <w:t xml:space="preserve"> year one-off social care finding</w:t>
      </w:r>
      <w:r w:rsidR="00752646" w:rsidRPr="008C337C">
        <w:rPr>
          <w:rFonts w:cs="Arial"/>
        </w:rPr>
        <w:t xml:space="preserve"> of </w:t>
      </w:r>
      <w:r w:rsidR="00752646" w:rsidRPr="008C337C">
        <w:rPr>
          <w:rFonts w:cs="Arial"/>
          <w:b/>
        </w:rPr>
        <w:t>(£1.576m)</w:t>
      </w:r>
      <w:r w:rsidR="00752646" w:rsidRPr="008C337C">
        <w:rPr>
          <w:rFonts w:cs="Arial"/>
        </w:rPr>
        <w:t xml:space="preserve"> which reduces the overspend to the net reported figure of </w:t>
      </w:r>
      <w:r w:rsidR="00752646" w:rsidRPr="008C337C">
        <w:rPr>
          <w:rFonts w:cs="Arial"/>
          <w:b/>
        </w:rPr>
        <w:t>£3.446m</w:t>
      </w:r>
      <w:r w:rsidR="00752646" w:rsidRPr="008C337C">
        <w:rPr>
          <w:rFonts w:cs="Arial"/>
        </w:rPr>
        <w:t>.</w:t>
      </w:r>
    </w:p>
    <w:p w:rsidR="00ED7840" w:rsidRPr="00752646" w:rsidRDefault="00ED7840">
      <w:pPr>
        <w:pStyle w:val="ListParagraph"/>
        <w:ind w:left="567"/>
        <w:jc w:val="both"/>
        <w:rPr>
          <w:rFonts w:cs="Arial"/>
        </w:rPr>
      </w:pPr>
    </w:p>
    <w:p w:rsidR="00752646" w:rsidRPr="008C337C" w:rsidRDefault="00752646" w:rsidP="00531831">
      <w:pPr>
        <w:pStyle w:val="ListParagraph"/>
        <w:numPr>
          <w:ilvl w:val="0"/>
          <w:numId w:val="173"/>
        </w:numPr>
        <w:ind w:left="567" w:hanging="567"/>
        <w:jc w:val="both"/>
        <w:rPr>
          <w:rFonts w:cs="Arial"/>
        </w:rPr>
      </w:pPr>
      <w:r w:rsidRPr="008C337C">
        <w:rPr>
          <w:rFonts w:cs="Arial"/>
          <w:szCs w:val="24"/>
        </w:rPr>
        <w:t>The</w:t>
      </w:r>
      <w:r w:rsidR="00491DEC">
        <w:rPr>
          <w:rFonts w:cs="Arial"/>
          <w:szCs w:val="24"/>
        </w:rPr>
        <w:t xml:space="preserve"> net</w:t>
      </w:r>
      <w:r w:rsidRPr="008C337C">
        <w:rPr>
          <w:rFonts w:cs="Arial"/>
          <w:szCs w:val="24"/>
        </w:rPr>
        <w:t xml:space="preserve"> </w:t>
      </w:r>
      <w:r w:rsidRPr="008C337C">
        <w:rPr>
          <w:rFonts w:cs="Arial"/>
          <w:b/>
          <w:szCs w:val="24"/>
        </w:rPr>
        <w:t xml:space="preserve">£3.446m </w:t>
      </w:r>
      <w:r w:rsidRPr="008C337C">
        <w:rPr>
          <w:rFonts w:cs="Arial"/>
          <w:szCs w:val="24"/>
        </w:rPr>
        <w:t>pressure relates largely to adult social care placements, pressures in the delivery of in-house services, offset by</w:t>
      </w:r>
      <w:r w:rsidR="00491DEC">
        <w:rPr>
          <w:rFonts w:cs="Arial"/>
          <w:szCs w:val="24"/>
        </w:rPr>
        <w:t xml:space="preserve"> the one-off grants and</w:t>
      </w:r>
      <w:r w:rsidRPr="008C337C">
        <w:rPr>
          <w:rFonts w:cs="Arial"/>
          <w:szCs w:val="24"/>
        </w:rPr>
        <w:t xml:space="preserve"> other wider divisional underspends</w:t>
      </w:r>
      <w:r w:rsidR="00070762">
        <w:rPr>
          <w:rFonts w:cs="Arial"/>
          <w:szCs w:val="24"/>
        </w:rPr>
        <w:t xml:space="preserve"> as set out below;</w:t>
      </w:r>
    </w:p>
    <w:p w:rsidR="00752646" w:rsidRPr="008C337C" w:rsidRDefault="00752646" w:rsidP="008C337C">
      <w:pPr>
        <w:pStyle w:val="ListParagraph"/>
        <w:ind w:left="567"/>
        <w:jc w:val="both"/>
        <w:rPr>
          <w:rFonts w:cs="Arial"/>
        </w:rPr>
      </w:pPr>
    </w:p>
    <w:p w:rsidR="00752646" w:rsidRPr="000C5533" w:rsidRDefault="00752646" w:rsidP="00531831">
      <w:pPr>
        <w:pStyle w:val="ListParagraph"/>
        <w:numPr>
          <w:ilvl w:val="0"/>
          <w:numId w:val="173"/>
        </w:numPr>
        <w:ind w:left="567" w:hanging="567"/>
        <w:jc w:val="both"/>
        <w:rPr>
          <w:rFonts w:cs="Arial"/>
        </w:rPr>
      </w:pPr>
      <w:r w:rsidRPr="008C337C">
        <w:rPr>
          <w:rFonts w:cs="Arial"/>
          <w:szCs w:val="24"/>
        </w:rPr>
        <w:t xml:space="preserve"> </w:t>
      </w:r>
      <w:r w:rsidRPr="008C337C">
        <w:rPr>
          <w:rFonts w:cs="Arial"/>
          <w:b/>
          <w:szCs w:val="24"/>
        </w:rPr>
        <w:t>£4.906m</w:t>
      </w:r>
      <w:r w:rsidR="00107601" w:rsidRPr="00274C91">
        <w:rPr>
          <w:rFonts w:cs="Arial"/>
          <w:szCs w:val="24"/>
        </w:rPr>
        <w:t xml:space="preserve">  relates </w:t>
      </w:r>
      <w:r w:rsidRPr="008C337C">
        <w:rPr>
          <w:rFonts w:cs="Arial"/>
          <w:szCs w:val="24"/>
        </w:rPr>
        <w:t xml:space="preserve">to </w:t>
      </w:r>
      <w:r w:rsidR="00491DEC">
        <w:rPr>
          <w:rFonts w:cs="Arial"/>
          <w:szCs w:val="24"/>
        </w:rPr>
        <w:t xml:space="preserve">an overspend in </w:t>
      </w:r>
      <w:r w:rsidRPr="008C337C">
        <w:rPr>
          <w:rFonts w:cs="Arial"/>
          <w:szCs w:val="24"/>
        </w:rPr>
        <w:t>adult social care placements</w:t>
      </w:r>
      <w:r w:rsidR="00107601" w:rsidRPr="00274C91">
        <w:rPr>
          <w:rFonts w:cs="Arial"/>
          <w:szCs w:val="24"/>
        </w:rPr>
        <w:t xml:space="preserve"> as follows</w:t>
      </w:r>
      <w:r w:rsidR="00274C91" w:rsidRPr="00274C91">
        <w:rPr>
          <w:rFonts w:cs="Arial"/>
          <w:szCs w:val="24"/>
        </w:rPr>
        <w:t xml:space="preserve">; </w:t>
      </w:r>
    </w:p>
    <w:p w:rsidR="00AC11FC" w:rsidRPr="0004757A" w:rsidRDefault="00AC11FC" w:rsidP="008C337C">
      <w:pPr>
        <w:pStyle w:val="ListParagraph"/>
        <w:jc w:val="both"/>
        <w:rPr>
          <w:rFonts w:cs="Arial"/>
        </w:rPr>
      </w:pPr>
    </w:p>
    <w:p w:rsidR="00752646" w:rsidRPr="00CE6501" w:rsidRDefault="00752646" w:rsidP="00531831">
      <w:pPr>
        <w:pStyle w:val="ListParagraph"/>
        <w:numPr>
          <w:ilvl w:val="0"/>
          <w:numId w:val="177"/>
        </w:numPr>
        <w:jc w:val="both"/>
        <w:rPr>
          <w:rFonts w:cs="Arial"/>
        </w:rPr>
      </w:pPr>
      <w:r w:rsidRPr="007F407F">
        <w:rPr>
          <w:rFonts w:cs="Arial"/>
        </w:rPr>
        <w:t xml:space="preserve">An increase of £2.334m in relation to new placements (between now and the end of the financial year, including </w:t>
      </w:r>
      <w:r w:rsidR="00107601" w:rsidRPr="00386B8A">
        <w:rPr>
          <w:rFonts w:cs="Arial"/>
        </w:rPr>
        <w:t>additional</w:t>
      </w:r>
      <w:r w:rsidRPr="00BE2485">
        <w:rPr>
          <w:rFonts w:cs="Arial"/>
        </w:rPr>
        <w:t xml:space="preserve"> winter pressures)</w:t>
      </w:r>
      <w:r w:rsidR="006A27E3" w:rsidRPr="00070E53">
        <w:rPr>
          <w:rFonts w:cs="Arial"/>
        </w:rPr>
        <w:t>.</w:t>
      </w:r>
    </w:p>
    <w:p w:rsidR="00AC11FC" w:rsidRDefault="00AC11FC" w:rsidP="008C337C">
      <w:pPr>
        <w:pStyle w:val="ListParagraph"/>
        <w:ind w:left="1440"/>
        <w:jc w:val="both"/>
        <w:rPr>
          <w:rFonts w:cs="Arial"/>
        </w:rPr>
      </w:pPr>
    </w:p>
    <w:p w:rsidR="00AC11FC" w:rsidRPr="00070E53" w:rsidRDefault="00AC11FC" w:rsidP="00531831">
      <w:pPr>
        <w:pStyle w:val="ListParagraph"/>
        <w:numPr>
          <w:ilvl w:val="0"/>
          <w:numId w:val="177"/>
        </w:numPr>
        <w:jc w:val="both"/>
        <w:rPr>
          <w:rFonts w:cs="Arial"/>
        </w:rPr>
      </w:pPr>
      <w:r w:rsidRPr="007F407F">
        <w:rPr>
          <w:rFonts w:cs="Arial"/>
        </w:rPr>
        <w:t xml:space="preserve">An overspend of £3.388m based on MTFS and mitigations achieved to date (as at 18.09.18) </w:t>
      </w:r>
      <w:r w:rsidRPr="00386B8A">
        <w:rPr>
          <w:rFonts w:cs="Arial"/>
        </w:rPr>
        <w:t xml:space="preserve">and inflationary uplifts </w:t>
      </w:r>
      <w:r w:rsidRPr="00BE2485">
        <w:rPr>
          <w:rFonts w:cs="Arial"/>
        </w:rPr>
        <w:t>of £0.606m</w:t>
      </w:r>
    </w:p>
    <w:p w:rsidR="006A27E3" w:rsidRPr="00752646" w:rsidRDefault="006A27E3" w:rsidP="008C337C">
      <w:pPr>
        <w:pStyle w:val="ListParagraph"/>
        <w:ind w:left="1440"/>
        <w:jc w:val="both"/>
        <w:rPr>
          <w:rFonts w:cs="Arial"/>
        </w:rPr>
      </w:pPr>
    </w:p>
    <w:p w:rsidR="006A27E3" w:rsidRPr="00531831" w:rsidRDefault="00752646" w:rsidP="00531831">
      <w:pPr>
        <w:pStyle w:val="ListParagraph"/>
        <w:numPr>
          <w:ilvl w:val="0"/>
          <w:numId w:val="177"/>
        </w:numPr>
        <w:jc w:val="both"/>
        <w:rPr>
          <w:rFonts w:cs="Arial"/>
        </w:rPr>
      </w:pPr>
      <w:r w:rsidRPr="007F407F">
        <w:rPr>
          <w:rFonts w:cs="Arial"/>
        </w:rPr>
        <w:t>A reduction in expenditure of (£0.509m) anticipated in relation to the delivery of the remaining MTFS and budgeted assumptions.  This relates largely to clawback (£</w:t>
      </w:r>
      <w:r w:rsidR="006A27E3" w:rsidRPr="00386B8A">
        <w:rPr>
          <w:rFonts w:cs="Arial"/>
        </w:rPr>
        <w:t>0.</w:t>
      </w:r>
      <w:r w:rsidRPr="00BE2485">
        <w:rPr>
          <w:rFonts w:cs="Arial"/>
        </w:rPr>
        <w:t>198</w:t>
      </w:r>
      <w:r w:rsidR="006A27E3" w:rsidRPr="00070E53">
        <w:rPr>
          <w:rFonts w:cs="Arial"/>
        </w:rPr>
        <w:t>m</w:t>
      </w:r>
      <w:r w:rsidRPr="00CE6501">
        <w:rPr>
          <w:rFonts w:cs="Arial"/>
        </w:rPr>
        <w:t xml:space="preserve">), the core and cluster model (£95k) and </w:t>
      </w:r>
      <w:r w:rsidRPr="00494A18">
        <w:rPr>
          <w:rFonts w:cs="Arial"/>
        </w:rPr>
        <w:t>promotin</w:t>
      </w:r>
      <w:r w:rsidRPr="00043EF4">
        <w:rPr>
          <w:rFonts w:cs="Arial"/>
        </w:rPr>
        <w:t>g independence (£</w:t>
      </w:r>
      <w:r w:rsidR="006A27E3" w:rsidRPr="009B4C8D">
        <w:rPr>
          <w:rFonts w:cs="Arial"/>
        </w:rPr>
        <w:t>0.216m</w:t>
      </w:r>
      <w:r w:rsidRPr="00531831">
        <w:rPr>
          <w:rFonts w:cs="Arial"/>
        </w:rPr>
        <w:t>).</w:t>
      </w:r>
    </w:p>
    <w:p w:rsidR="006A27E3" w:rsidRPr="000C5533" w:rsidRDefault="006A27E3" w:rsidP="008C337C">
      <w:pPr>
        <w:pStyle w:val="ListParagraph"/>
        <w:jc w:val="both"/>
        <w:rPr>
          <w:rFonts w:cs="Arial"/>
        </w:rPr>
      </w:pPr>
    </w:p>
    <w:p w:rsidR="00752646" w:rsidRPr="00531831" w:rsidRDefault="00752646" w:rsidP="00531831">
      <w:pPr>
        <w:pStyle w:val="ListParagraph"/>
        <w:numPr>
          <w:ilvl w:val="0"/>
          <w:numId w:val="177"/>
        </w:numPr>
        <w:jc w:val="both"/>
        <w:rPr>
          <w:rFonts w:cs="Arial"/>
        </w:rPr>
      </w:pPr>
      <w:r w:rsidRPr="007F407F">
        <w:rPr>
          <w:rFonts w:cs="Arial"/>
        </w:rPr>
        <w:t>A reduction in expenditure of (£0.287m</w:t>
      </w:r>
      <w:r w:rsidRPr="007F407F">
        <w:rPr>
          <w:rFonts w:cs="Arial"/>
          <w:i/>
        </w:rPr>
        <w:t xml:space="preserve">) </w:t>
      </w:r>
      <w:r w:rsidR="006C10C6" w:rsidRPr="00525BD0">
        <w:rPr>
          <w:rFonts w:cs="Arial"/>
        </w:rPr>
        <w:t xml:space="preserve">anticipated in relation to the </w:t>
      </w:r>
      <w:r w:rsidRPr="00386B8A">
        <w:rPr>
          <w:rFonts w:cs="Arial"/>
        </w:rPr>
        <w:t>mitigation plan.  This assumes reductions in expenditure in relation to day care (£</w:t>
      </w:r>
      <w:r w:rsidR="006A27E3" w:rsidRPr="00BE2485">
        <w:rPr>
          <w:rFonts w:cs="Arial"/>
        </w:rPr>
        <w:t>0.</w:t>
      </w:r>
      <w:r w:rsidRPr="00070E53">
        <w:rPr>
          <w:rFonts w:cs="Arial"/>
        </w:rPr>
        <w:t>130</w:t>
      </w:r>
      <w:r w:rsidR="006A27E3" w:rsidRPr="00CE6501">
        <w:rPr>
          <w:rFonts w:cs="Arial"/>
        </w:rPr>
        <w:t>m</w:t>
      </w:r>
      <w:r w:rsidRPr="00494A18">
        <w:rPr>
          <w:rFonts w:cs="Arial"/>
        </w:rPr>
        <w:t>), care funding calculator reviews (£</w:t>
      </w:r>
      <w:r w:rsidR="006A27E3" w:rsidRPr="00043EF4">
        <w:rPr>
          <w:rFonts w:cs="Arial"/>
        </w:rPr>
        <w:t>0.</w:t>
      </w:r>
      <w:r w:rsidRPr="009B4C8D">
        <w:rPr>
          <w:rFonts w:cs="Arial"/>
        </w:rPr>
        <w:t>120</w:t>
      </w:r>
      <w:r w:rsidR="006A27E3" w:rsidRPr="00531831">
        <w:rPr>
          <w:rFonts w:cs="Arial"/>
        </w:rPr>
        <w:t>m</w:t>
      </w:r>
      <w:r w:rsidRPr="00531831">
        <w:rPr>
          <w:rFonts w:cs="Arial"/>
        </w:rPr>
        <w:t>) and reviews being carried out by an external provider (£</w:t>
      </w:r>
      <w:r w:rsidR="006A27E3" w:rsidRPr="00531831">
        <w:rPr>
          <w:rFonts w:cs="Arial"/>
        </w:rPr>
        <w:t>0.</w:t>
      </w:r>
      <w:r w:rsidRPr="00531831">
        <w:rPr>
          <w:rFonts w:cs="Arial"/>
        </w:rPr>
        <w:t>337</w:t>
      </w:r>
      <w:r w:rsidR="006A27E3" w:rsidRPr="00531831">
        <w:rPr>
          <w:rFonts w:cs="Arial"/>
        </w:rPr>
        <w:t>m</w:t>
      </w:r>
      <w:r w:rsidRPr="00531831">
        <w:rPr>
          <w:rFonts w:cs="Arial"/>
        </w:rPr>
        <w:t>) together with a further increase in clawback (£</w:t>
      </w:r>
      <w:r w:rsidR="006A27E3" w:rsidRPr="00531831">
        <w:rPr>
          <w:rFonts w:cs="Arial"/>
        </w:rPr>
        <w:t>0.</w:t>
      </w:r>
      <w:r w:rsidRPr="00531831">
        <w:rPr>
          <w:rFonts w:cs="Arial"/>
        </w:rPr>
        <w:t>200</w:t>
      </w:r>
      <w:r w:rsidR="006A27E3" w:rsidRPr="00531831">
        <w:rPr>
          <w:rFonts w:cs="Arial"/>
        </w:rPr>
        <w:t>m</w:t>
      </w:r>
      <w:r w:rsidRPr="00531831">
        <w:rPr>
          <w:rFonts w:cs="Arial"/>
        </w:rPr>
        <w:t>) reduced by £0.5m to offset any risk associated with delivery.</w:t>
      </w:r>
    </w:p>
    <w:p w:rsidR="006A27E3" w:rsidRPr="000C5533" w:rsidRDefault="006A27E3" w:rsidP="008C337C">
      <w:pPr>
        <w:pStyle w:val="ListParagraph"/>
        <w:jc w:val="both"/>
        <w:rPr>
          <w:rFonts w:cs="Arial"/>
        </w:rPr>
      </w:pPr>
    </w:p>
    <w:p w:rsidR="00752646" w:rsidRPr="00BE2485" w:rsidRDefault="00752646" w:rsidP="00531831">
      <w:pPr>
        <w:pStyle w:val="ListParagraph"/>
        <w:numPr>
          <w:ilvl w:val="0"/>
          <w:numId w:val="177"/>
        </w:numPr>
        <w:jc w:val="both"/>
        <w:rPr>
          <w:rFonts w:cs="Arial"/>
        </w:rPr>
      </w:pPr>
      <w:r w:rsidRPr="007F407F">
        <w:rPr>
          <w:rFonts w:cs="Arial"/>
        </w:rPr>
        <w:t>A forecast underspend of (£20k)</w:t>
      </w:r>
      <w:r w:rsidR="00CA3F45" w:rsidRPr="007F407F">
        <w:rPr>
          <w:rFonts w:cs="Arial"/>
        </w:rPr>
        <w:t xml:space="preserve"> in relation to re</w:t>
      </w:r>
      <w:r w:rsidR="00811F8F" w:rsidRPr="00525BD0">
        <w:rPr>
          <w:rFonts w:cs="Arial"/>
        </w:rPr>
        <w:t>-</w:t>
      </w:r>
      <w:proofErr w:type="spellStart"/>
      <w:r w:rsidRPr="00386B8A">
        <w:rPr>
          <w:rFonts w:cs="Arial"/>
        </w:rPr>
        <w:t>ablement</w:t>
      </w:r>
      <w:proofErr w:type="spellEnd"/>
      <w:r w:rsidRPr="00386B8A">
        <w:rPr>
          <w:rFonts w:cs="Arial"/>
        </w:rPr>
        <w:t>.</w:t>
      </w:r>
    </w:p>
    <w:p w:rsidR="00752646" w:rsidRPr="008C337C" w:rsidRDefault="00752646" w:rsidP="008C337C">
      <w:pPr>
        <w:pStyle w:val="ListParagraph"/>
        <w:jc w:val="both"/>
        <w:rPr>
          <w:rFonts w:cs="Arial"/>
          <w:szCs w:val="24"/>
        </w:rPr>
      </w:pPr>
    </w:p>
    <w:p w:rsidR="00752646" w:rsidRPr="008C337C" w:rsidRDefault="00752646" w:rsidP="00531831">
      <w:pPr>
        <w:pStyle w:val="ListParagraph"/>
        <w:numPr>
          <w:ilvl w:val="0"/>
          <w:numId w:val="173"/>
        </w:numPr>
        <w:ind w:left="567" w:hanging="567"/>
        <w:jc w:val="both"/>
        <w:rPr>
          <w:rFonts w:cs="Arial"/>
        </w:rPr>
      </w:pPr>
      <w:r w:rsidRPr="008C337C">
        <w:rPr>
          <w:rFonts w:cs="Arial"/>
          <w:b/>
          <w:szCs w:val="24"/>
        </w:rPr>
        <w:t>Other Adults</w:t>
      </w:r>
      <w:r w:rsidRPr="008C337C">
        <w:rPr>
          <w:rFonts w:cs="Arial"/>
          <w:szCs w:val="24"/>
        </w:rPr>
        <w:t xml:space="preserve"> – an over</w:t>
      </w:r>
      <w:r w:rsidR="00CB44B6">
        <w:rPr>
          <w:rFonts w:cs="Arial"/>
          <w:szCs w:val="24"/>
        </w:rPr>
        <w:t xml:space="preserve"> </w:t>
      </w:r>
      <w:r w:rsidRPr="008C337C">
        <w:rPr>
          <w:rFonts w:cs="Arial"/>
          <w:szCs w:val="24"/>
        </w:rPr>
        <w:t xml:space="preserve">spend of </w:t>
      </w:r>
      <w:r w:rsidRPr="008C337C">
        <w:rPr>
          <w:rFonts w:cs="Arial"/>
          <w:b/>
          <w:szCs w:val="24"/>
        </w:rPr>
        <w:t>£0.108m</w:t>
      </w:r>
      <w:r w:rsidRPr="008C337C">
        <w:rPr>
          <w:rFonts w:cs="Arial"/>
          <w:szCs w:val="24"/>
        </w:rPr>
        <w:t>.  This largely represents an overspend of £0.127m in relation to C</w:t>
      </w:r>
      <w:r w:rsidR="00BB719C">
        <w:rPr>
          <w:rFonts w:cs="Arial"/>
          <w:szCs w:val="24"/>
        </w:rPr>
        <w:t xml:space="preserve">entral </w:t>
      </w:r>
      <w:r w:rsidRPr="008C337C">
        <w:rPr>
          <w:rFonts w:cs="Arial"/>
          <w:szCs w:val="24"/>
        </w:rPr>
        <w:t>N</w:t>
      </w:r>
      <w:r w:rsidR="00BB719C">
        <w:rPr>
          <w:rFonts w:cs="Arial"/>
          <w:szCs w:val="24"/>
        </w:rPr>
        <w:t xml:space="preserve">orth </w:t>
      </w:r>
      <w:r w:rsidRPr="008C337C">
        <w:rPr>
          <w:rFonts w:cs="Arial"/>
          <w:szCs w:val="24"/>
        </w:rPr>
        <w:t>W</w:t>
      </w:r>
      <w:r w:rsidR="00BB719C">
        <w:rPr>
          <w:rFonts w:cs="Arial"/>
          <w:szCs w:val="24"/>
        </w:rPr>
        <w:t xml:space="preserve">est </w:t>
      </w:r>
      <w:r w:rsidRPr="008C337C">
        <w:rPr>
          <w:rFonts w:cs="Arial"/>
          <w:szCs w:val="24"/>
        </w:rPr>
        <w:t>L</w:t>
      </w:r>
      <w:r w:rsidR="00BB719C">
        <w:rPr>
          <w:rFonts w:cs="Arial"/>
          <w:szCs w:val="24"/>
        </w:rPr>
        <w:t>ondon</w:t>
      </w:r>
      <w:r w:rsidRPr="008C337C">
        <w:rPr>
          <w:rFonts w:cs="Arial"/>
          <w:szCs w:val="24"/>
        </w:rPr>
        <w:t xml:space="preserve"> </w:t>
      </w:r>
      <w:r w:rsidR="00C31F1C">
        <w:rPr>
          <w:rFonts w:cs="Arial"/>
          <w:szCs w:val="24"/>
        </w:rPr>
        <w:t xml:space="preserve">(CNWL) </w:t>
      </w:r>
      <w:r w:rsidRPr="008C337C">
        <w:rPr>
          <w:rFonts w:cs="Arial"/>
          <w:szCs w:val="24"/>
        </w:rPr>
        <w:t xml:space="preserve">managed mental health services, offset by minor variations (12k) within the division.  The position assumes an outturn in relation to Mental Health services of £5.230m against a budget of £4.054m.  The shortfall of £1.176m is shared between the Council and CNWL.  Further risk remains in relation to </w:t>
      </w:r>
      <w:r w:rsidR="00B97305">
        <w:rPr>
          <w:rFonts w:cs="Arial"/>
          <w:szCs w:val="24"/>
        </w:rPr>
        <w:t>the recovery plan (approx. £0.107m</w:t>
      </w:r>
      <w:r w:rsidRPr="008C337C">
        <w:rPr>
          <w:rFonts w:cs="Arial"/>
          <w:szCs w:val="24"/>
        </w:rPr>
        <w:t>) assumed to be delivered within the forecast currently being reported.</w:t>
      </w:r>
    </w:p>
    <w:p w:rsidR="00752646" w:rsidRPr="008C337C" w:rsidRDefault="00752646" w:rsidP="008C337C">
      <w:pPr>
        <w:pStyle w:val="ListParagraph"/>
        <w:ind w:left="567"/>
        <w:jc w:val="both"/>
        <w:rPr>
          <w:rFonts w:cs="Arial"/>
        </w:rPr>
      </w:pPr>
    </w:p>
    <w:p w:rsidR="00752646" w:rsidRPr="008C337C" w:rsidRDefault="00752646" w:rsidP="00531831">
      <w:pPr>
        <w:pStyle w:val="ListParagraph"/>
        <w:numPr>
          <w:ilvl w:val="0"/>
          <w:numId w:val="173"/>
        </w:numPr>
        <w:ind w:left="567" w:hanging="567"/>
        <w:jc w:val="both"/>
        <w:rPr>
          <w:rFonts w:cs="Arial"/>
        </w:rPr>
      </w:pPr>
      <w:r w:rsidRPr="008C337C">
        <w:rPr>
          <w:rFonts w:cs="Arial"/>
          <w:b/>
          <w:szCs w:val="24"/>
        </w:rPr>
        <w:t>In-house provision</w:t>
      </w:r>
      <w:r w:rsidRPr="008C337C">
        <w:rPr>
          <w:rFonts w:cs="Arial"/>
          <w:szCs w:val="24"/>
        </w:rPr>
        <w:t xml:space="preserve"> – an over</w:t>
      </w:r>
      <w:r w:rsidR="00CB44B6">
        <w:rPr>
          <w:rFonts w:cs="Arial"/>
          <w:szCs w:val="24"/>
        </w:rPr>
        <w:t xml:space="preserve"> </w:t>
      </w:r>
      <w:r w:rsidRPr="008C337C">
        <w:rPr>
          <w:rFonts w:cs="Arial"/>
          <w:szCs w:val="24"/>
        </w:rPr>
        <w:t>spe</w:t>
      </w:r>
      <w:r w:rsidR="006B113D">
        <w:rPr>
          <w:rFonts w:cs="Arial"/>
          <w:szCs w:val="24"/>
        </w:rPr>
        <w:t>nd</w:t>
      </w:r>
      <w:r w:rsidR="006B113D" w:rsidRPr="006B113D">
        <w:rPr>
          <w:rFonts w:cs="Arial"/>
          <w:b/>
          <w:szCs w:val="24"/>
        </w:rPr>
        <w:t xml:space="preserve"> of </w:t>
      </w:r>
      <w:r w:rsidR="006B113D" w:rsidRPr="006B113D">
        <w:rPr>
          <w:rFonts w:cs="Arial"/>
          <w:b/>
          <w:bCs/>
          <w:szCs w:val="24"/>
        </w:rPr>
        <w:t>£0.154m</w:t>
      </w:r>
      <w:r w:rsidR="006B113D">
        <w:rPr>
          <w:rFonts w:cs="Arial"/>
          <w:b/>
          <w:szCs w:val="24"/>
        </w:rPr>
        <w:t xml:space="preserve"> - </w:t>
      </w:r>
      <w:r w:rsidR="006B113D" w:rsidRPr="008C337C">
        <w:rPr>
          <w:rFonts w:cs="Arial"/>
          <w:szCs w:val="24"/>
        </w:rPr>
        <w:t>This largely represents increased staffing costs required to maintain a safe service of £0.275m offset by underspends of £</w:t>
      </w:r>
      <w:r w:rsidR="001F16DB">
        <w:rPr>
          <w:rFonts w:cs="Arial"/>
          <w:szCs w:val="24"/>
        </w:rPr>
        <w:t>0.</w:t>
      </w:r>
      <w:r w:rsidR="006B113D" w:rsidRPr="008C337C">
        <w:rPr>
          <w:rFonts w:cs="Arial"/>
          <w:szCs w:val="24"/>
        </w:rPr>
        <w:t>121</w:t>
      </w:r>
      <w:r w:rsidR="001F16DB">
        <w:rPr>
          <w:rFonts w:cs="Arial"/>
          <w:szCs w:val="24"/>
        </w:rPr>
        <w:t>m</w:t>
      </w:r>
      <w:r w:rsidR="006B113D" w:rsidRPr="008C337C">
        <w:rPr>
          <w:rFonts w:cs="Arial"/>
          <w:szCs w:val="24"/>
        </w:rPr>
        <w:t xml:space="preserve"> across transport, Watkins House and shared lives</w:t>
      </w:r>
      <w:r w:rsidR="006B113D">
        <w:rPr>
          <w:rFonts w:cs="Arial"/>
          <w:szCs w:val="24"/>
        </w:rPr>
        <w:t>.</w:t>
      </w:r>
    </w:p>
    <w:p w:rsidR="00752646" w:rsidRPr="008C337C" w:rsidRDefault="00752646" w:rsidP="008C337C">
      <w:pPr>
        <w:pStyle w:val="ListParagraph"/>
        <w:ind w:left="567"/>
        <w:jc w:val="both"/>
        <w:rPr>
          <w:rFonts w:cs="Arial"/>
        </w:rPr>
      </w:pPr>
    </w:p>
    <w:p w:rsidR="00752646" w:rsidRPr="008C337C" w:rsidRDefault="00752646" w:rsidP="00531831">
      <w:pPr>
        <w:pStyle w:val="ListParagraph"/>
        <w:numPr>
          <w:ilvl w:val="0"/>
          <w:numId w:val="173"/>
        </w:numPr>
        <w:ind w:left="567" w:hanging="567"/>
        <w:jc w:val="both"/>
        <w:rPr>
          <w:rFonts w:cs="Arial"/>
        </w:rPr>
      </w:pPr>
      <w:r w:rsidRPr="008C337C">
        <w:rPr>
          <w:rFonts w:cs="Arial"/>
          <w:szCs w:val="24"/>
        </w:rPr>
        <w:t>The above pressure is reduce</w:t>
      </w:r>
      <w:r w:rsidR="00BB719C">
        <w:rPr>
          <w:rFonts w:cs="Arial"/>
          <w:szCs w:val="24"/>
        </w:rPr>
        <w:t>d by the following underspends and one-off grants income as follows;</w:t>
      </w:r>
    </w:p>
    <w:p w:rsidR="00752646" w:rsidRPr="008C337C" w:rsidRDefault="00752646" w:rsidP="008C337C">
      <w:pPr>
        <w:pStyle w:val="ListParagraph"/>
        <w:ind w:left="567"/>
        <w:jc w:val="both"/>
        <w:rPr>
          <w:rFonts w:cs="Arial"/>
        </w:rPr>
      </w:pPr>
    </w:p>
    <w:p w:rsidR="00752646" w:rsidRPr="008C337C" w:rsidRDefault="00752646" w:rsidP="00531831">
      <w:pPr>
        <w:pStyle w:val="ListParagraph"/>
        <w:numPr>
          <w:ilvl w:val="0"/>
          <w:numId w:val="173"/>
        </w:numPr>
        <w:ind w:left="567" w:hanging="567"/>
        <w:jc w:val="both"/>
        <w:rPr>
          <w:rFonts w:cs="Arial"/>
        </w:rPr>
      </w:pPr>
      <w:r w:rsidRPr="008C337C">
        <w:rPr>
          <w:rFonts w:cs="Arial"/>
          <w:b/>
        </w:rPr>
        <w:t>Strategic management</w:t>
      </w:r>
      <w:r w:rsidRPr="008C337C">
        <w:rPr>
          <w:rFonts w:cs="Arial"/>
        </w:rPr>
        <w:t xml:space="preserve"> – an under</w:t>
      </w:r>
      <w:r w:rsidR="00CB44B6">
        <w:rPr>
          <w:rFonts w:cs="Arial"/>
        </w:rPr>
        <w:t xml:space="preserve"> </w:t>
      </w:r>
      <w:r w:rsidRPr="008C337C">
        <w:rPr>
          <w:rFonts w:cs="Arial"/>
        </w:rPr>
        <w:t xml:space="preserve">spend of </w:t>
      </w:r>
      <w:r w:rsidRPr="008C337C">
        <w:rPr>
          <w:rFonts w:cs="Arial"/>
          <w:b/>
        </w:rPr>
        <w:t>(£0.146m)</w:t>
      </w:r>
      <w:r w:rsidR="006B113D">
        <w:rPr>
          <w:rFonts w:cs="Arial"/>
        </w:rPr>
        <w:t xml:space="preserve"> - T</w:t>
      </w:r>
      <w:r w:rsidRPr="008C337C">
        <w:rPr>
          <w:rFonts w:cs="Arial"/>
        </w:rPr>
        <w:t>his variation represents a lower level of legal costs in relation to the Infinity project (£21k) and releasing the unallocated placement contingency (£</w:t>
      </w:r>
      <w:r w:rsidR="00B97305">
        <w:rPr>
          <w:rFonts w:cs="Arial"/>
        </w:rPr>
        <w:t>0.125m</w:t>
      </w:r>
      <w:r w:rsidRPr="008C337C">
        <w:rPr>
          <w:rFonts w:cs="Arial"/>
          <w:i/>
        </w:rPr>
        <w:t>).</w:t>
      </w:r>
    </w:p>
    <w:p w:rsidR="00811F8F" w:rsidRPr="009E69CE" w:rsidRDefault="00811F8F" w:rsidP="008C337C">
      <w:pPr>
        <w:pStyle w:val="ListParagraph"/>
        <w:rPr>
          <w:rFonts w:cs="Arial"/>
        </w:rPr>
      </w:pPr>
    </w:p>
    <w:p w:rsidR="00811F8F" w:rsidRPr="008C337C" w:rsidRDefault="00255827" w:rsidP="00531831">
      <w:pPr>
        <w:pStyle w:val="ListParagraph"/>
        <w:numPr>
          <w:ilvl w:val="0"/>
          <w:numId w:val="173"/>
        </w:numPr>
        <w:ind w:left="567" w:hanging="567"/>
        <w:jc w:val="both"/>
        <w:rPr>
          <w:rFonts w:cs="Arial"/>
        </w:rPr>
      </w:pPr>
      <w:r>
        <w:rPr>
          <w:rFonts w:cs="Arial"/>
          <w:b/>
          <w:bCs/>
        </w:rPr>
        <w:t>One-Off Social Care Funding</w:t>
      </w:r>
      <w:r w:rsidR="00811F8F" w:rsidRPr="00811F8F">
        <w:rPr>
          <w:rFonts w:cs="Arial"/>
          <w:b/>
          <w:bCs/>
        </w:rPr>
        <w:t xml:space="preserve"> - </w:t>
      </w:r>
      <w:r w:rsidR="00811F8F" w:rsidRPr="00811F8F">
        <w:rPr>
          <w:rFonts w:cs="Arial"/>
          <w:bCs/>
        </w:rPr>
        <w:t xml:space="preserve">The Secretary of State for Health and Social Care announced in a speech to the Conservative Party Conference at the beginning of October that an extra £240m of funding would be made available to councils to pay for social care packages for Winter 2018/19.  The allocation for Harrow totals </w:t>
      </w:r>
      <w:r w:rsidR="00811F8F" w:rsidRPr="008C337C">
        <w:rPr>
          <w:rFonts w:cs="Arial"/>
          <w:b/>
          <w:bCs/>
        </w:rPr>
        <w:t>(£0.9</w:t>
      </w:r>
      <w:r w:rsidR="006B113D">
        <w:rPr>
          <w:rFonts w:cs="Arial"/>
          <w:b/>
          <w:bCs/>
        </w:rPr>
        <w:t>68</w:t>
      </w:r>
      <w:r w:rsidR="00811F8F" w:rsidRPr="008C337C">
        <w:rPr>
          <w:rFonts w:cs="Arial"/>
          <w:b/>
          <w:bCs/>
        </w:rPr>
        <w:t>m</w:t>
      </w:r>
      <w:r w:rsidR="00811F8F">
        <w:rPr>
          <w:rFonts w:cs="Arial"/>
          <w:b/>
          <w:bCs/>
        </w:rPr>
        <w:t>)</w:t>
      </w:r>
      <w:r w:rsidR="00811F8F" w:rsidRPr="00811F8F">
        <w:rPr>
          <w:rFonts w:cs="Arial"/>
          <w:bCs/>
        </w:rPr>
        <w:t xml:space="preserve"> and will offset any increase the volume of packages being agreed.  In addition the Adult Social Care support grant of </w:t>
      </w:r>
      <w:r w:rsidR="00811F8F">
        <w:rPr>
          <w:rFonts w:cs="Arial"/>
          <w:bCs/>
        </w:rPr>
        <w:t>(</w:t>
      </w:r>
      <w:r w:rsidR="00811F8F" w:rsidRPr="008C337C">
        <w:rPr>
          <w:rFonts w:cs="Arial"/>
          <w:b/>
          <w:bCs/>
        </w:rPr>
        <w:t>£0.606m</w:t>
      </w:r>
      <w:r w:rsidR="00811F8F">
        <w:rPr>
          <w:rFonts w:cs="Arial"/>
          <w:b/>
          <w:bCs/>
        </w:rPr>
        <w:t>)</w:t>
      </w:r>
      <w:r w:rsidR="00140C99">
        <w:rPr>
          <w:rFonts w:cs="Arial"/>
          <w:bCs/>
        </w:rPr>
        <w:t xml:space="preserve"> (announced after the 2018/</w:t>
      </w:r>
      <w:r w:rsidR="00811F8F" w:rsidRPr="00811F8F">
        <w:rPr>
          <w:rFonts w:cs="Arial"/>
          <w:bCs/>
        </w:rPr>
        <w:t>19 budget was set), is being applied to fund agreed inflationary uplifts</w:t>
      </w:r>
      <w:r w:rsidR="00C24961">
        <w:rPr>
          <w:rFonts w:cs="Arial"/>
          <w:bCs/>
        </w:rPr>
        <w:t>.</w:t>
      </w:r>
    </w:p>
    <w:p w:rsidR="00752646" w:rsidRPr="008C337C" w:rsidRDefault="00752646" w:rsidP="008C337C">
      <w:pPr>
        <w:pStyle w:val="ListParagraph"/>
        <w:ind w:left="567"/>
        <w:jc w:val="both"/>
        <w:rPr>
          <w:rFonts w:cs="Arial"/>
        </w:rPr>
      </w:pPr>
    </w:p>
    <w:p w:rsidR="00CA32C2" w:rsidRDefault="00CA32C2" w:rsidP="00531831">
      <w:pPr>
        <w:pStyle w:val="ListParagraph"/>
        <w:numPr>
          <w:ilvl w:val="0"/>
          <w:numId w:val="173"/>
        </w:numPr>
        <w:ind w:left="567" w:hanging="567"/>
        <w:jc w:val="both"/>
        <w:rPr>
          <w:rFonts w:cs="Arial"/>
        </w:rPr>
      </w:pPr>
      <w:r>
        <w:rPr>
          <w:rFonts w:cs="Arial"/>
        </w:rPr>
        <w:t>The</w:t>
      </w:r>
      <w:r w:rsidR="00070762">
        <w:rPr>
          <w:rFonts w:cs="Arial"/>
        </w:rPr>
        <w:t xml:space="preserve"> £3.446m represent</w:t>
      </w:r>
      <w:r w:rsidR="00491DEC">
        <w:rPr>
          <w:rFonts w:cs="Arial"/>
        </w:rPr>
        <w:t>s</w:t>
      </w:r>
      <w:r w:rsidR="00070762">
        <w:rPr>
          <w:rFonts w:cs="Arial"/>
        </w:rPr>
        <w:t xml:space="preserve"> an increase of </w:t>
      </w:r>
      <w:r w:rsidRPr="008C337C">
        <w:rPr>
          <w:rFonts w:cs="Arial"/>
          <w:b/>
        </w:rPr>
        <w:t>£0.925m</w:t>
      </w:r>
      <w:r>
        <w:rPr>
          <w:rFonts w:cs="Arial"/>
        </w:rPr>
        <w:t xml:space="preserve"> </w:t>
      </w:r>
      <w:r w:rsidR="00070762">
        <w:rPr>
          <w:rFonts w:cs="Arial"/>
        </w:rPr>
        <w:t>in</w:t>
      </w:r>
      <w:r w:rsidR="00491DEC">
        <w:rPr>
          <w:rFonts w:cs="Arial"/>
        </w:rPr>
        <w:t xml:space="preserve"> the</w:t>
      </w:r>
      <w:r w:rsidR="00070762">
        <w:rPr>
          <w:rFonts w:cs="Arial"/>
        </w:rPr>
        <w:t xml:space="preserve"> forecast </w:t>
      </w:r>
      <w:r w:rsidR="001F7015">
        <w:rPr>
          <w:rFonts w:cs="Arial"/>
        </w:rPr>
        <w:t>between Q</w:t>
      </w:r>
      <w:r w:rsidR="00070762">
        <w:rPr>
          <w:rFonts w:cs="Arial"/>
        </w:rPr>
        <w:t>1 and</w:t>
      </w:r>
      <w:r w:rsidR="001F7015">
        <w:rPr>
          <w:rFonts w:cs="Arial"/>
        </w:rPr>
        <w:t xml:space="preserve"> Q</w:t>
      </w:r>
      <w:r w:rsidR="00070762">
        <w:rPr>
          <w:rFonts w:cs="Arial"/>
        </w:rPr>
        <w:t xml:space="preserve">2 </w:t>
      </w:r>
      <w:r>
        <w:rPr>
          <w:rFonts w:cs="Arial"/>
        </w:rPr>
        <w:t xml:space="preserve"> as </w:t>
      </w:r>
      <w:r w:rsidR="006A27E3">
        <w:rPr>
          <w:rFonts w:cs="Arial"/>
        </w:rPr>
        <w:t>set out below;</w:t>
      </w:r>
    </w:p>
    <w:p w:rsidR="00CA32C2" w:rsidRPr="00A51B2C" w:rsidRDefault="00CA32C2" w:rsidP="008C337C">
      <w:pPr>
        <w:pStyle w:val="ListParagraph"/>
        <w:rPr>
          <w:rFonts w:cs="Arial"/>
        </w:rPr>
      </w:pPr>
    </w:p>
    <w:p w:rsidR="009225E5" w:rsidRDefault="009225E5">
      <w:pPr>
        <w:pStyle w:val="ListParagraph"/>
        <w:numPr>
          <w:ilvl w:val="0"/>
          <w:numId w:val="167"/>
        </w:numPr>
        <w:jc w:val="both"/>
        <w:rPr>
          <w:rFonts w:cs="Arial"/>
        </w:rPr>
      </w:pPr>
      <w:r w:rsidRPr="00491DEC">
        <w:rPr>
          <w:rFonts w:cs="Arial"/>
        </w:rPr>
        <w:t>An increase</w:t>
      </w:r>
      <w:r w:rsidR="00491DEC" w:rsidRPr="00491DEC">
        <w:rPr>
          <w:rFonts w:cs="Arial"/>
        </w:rPr>
        <w:t>d</w:t>
      </w:r>
      <w:r w:rsidRPr="00491DEC">
        <w:rPr>
          <w:rFonts w:cs="Arial"/>
        </w:rPr>
        <w:t xml:space="preserve"> forecast in relation to social care placements of </w:t>
      </w:r>
      <w:r w:rsidRPr="00491DEC">
        <w:rPr>
          <w:rFonts w:cs="Arial"/>
          <w:b/>
        </w:rPr>
        <w:t>£0.833m</w:t>
      </w:r>
      <w:r w:rsidRPr="00491DEC">
        <w:rPr>
          <w:rFonts w:cs="Arial"/>
        </w:rPr>
        <w:t>, this is due to additional packages for personal budget</w:t>
      </w:r>
      <w:r w:rsidR="00491DEC" w:rsidRPr="00491DEC">
        <w:rPr>
          <w:rFonts w:cs="Arial"/>
        </w:rPr>
        <w:t>s</w:t>
      </w:r>
      <w:r w:rsidRPr="00491DEC">
        <w:rPr>
          <w:rFonts w:cs="Arial"/>
        </w:rPr>
        <w:t xml:space="preserve">, community </w:t>
      </w:r>
      <w:r w:rsidR="00BB719C" w:rsidRPr="00491DEC">
        <w:rPr>
          <w:rFonts w:cs="Arial"/>
        </w:rPr>
        <w:t xml:space="preserve">care </w:t>
      </w:r>
      <w:r w:rsidRPr="00491DEC">
        <w:rPr>
          <w:rFonts w:cs="Arial"/>
        </w:rPr>
        <w:t xml:space="preserve">placements, nursing </w:t>
      </w:r>
      <w:r w:rsidR="00BB719C" w:rsidRPr="00491DEC">
        <w:rPr>
          <w:rFonts w:cs="Arial"/>
        </w:rPr>
        <w:t xml:space="preserve">homes </w:t>
      </w:r>
      <w:r w:rsidRPr="00491DEC">
        <w:rPr>
          <w:rFonts w:cs="Arial"/>
        </w:rPr>
        <w:t>placements, anticipated new packages for children and young people,</w:t>
      </w:r>
      <w:r w:rsidR="00BB719C" w:rsidRPr="00491DEC">
        <w:rPr>
          <w:rFonts w:cs="Arial"/>
        </w:rPr>
        <w:t xml:space="preserve"> </w:t>
      </w:r>
      <w:r w:rsidRPr="00491DEC">
        <w:rPr>
          <w:rFonts w:cs="Arial"/>
        </w:rPr>
        <w:t>other increases in  pressure includes transition costs, increase in relation to re</w:t>
      </w:r>
      <w:r w:rsidR="00CB44B6" w:rsidRPr="00491DEC">
        <w:rPr>
          <w:rFonts w:cs="Arial"/>
        </w:rPr>
        <w:t>-</w:t>
      </w:r>
      <w:proofErr w:type="spellStart"/>
      <w:r w:rsidRPr="00491DEC">
        <w:rPr>
          <w:rFonts w:cs="Arial"/>
        </w:rPr>
        <w:t>ablement</w:t>
      </w:r>
      <w:proofErr w:type="spellEnd"/>
      <w:r w:rsidRPr="00491DEC">
        <w:rPr>
          <w:rFonts w:cs="Arial"/>
        </w:rPr>
        <w:t xml:space="preserve">  cost</w:t>
      </w:r>
      <w:r w:rsidR="00491DEC" w:rsidRPr="00491DEC">
        <w:rPr>
          <w:rFonts w:cs="Arial"/>
        </w:rPr>
        <w:t>s</w:t>
      </w:r>
      <w:r w:rsidRPr="00491DEC">
        <w:rPr>
          <w:rFonts w:cs="Arial"/>
        </w:rPr>
        <w:t xml:space="preserve"> and additional  bad debt  provisions assumes. </w:t>
      </w:r>
    </w:p>
    <w:p w:rsidR="00491DEC" w:rsidRPr="00491DEC" w:rsidRDefault="00491DEC" w:rsidP="008C337C">
      <w:pPr>
        <w:pStyle w:val="ListParagraph"/>
        <w:ind w:left="1287"/>
        <w:jc w:val="both"/>
        <w:rPr>
          <w:rFonts w:cs="Arial"/>
        </w:rPr>
      </w:pPr>
    </w:p>
    <w:p w:rsidR="00CA32C2" w:rsidRDefault="00E835FA" w:rsidP="008C337C">
      <w:pPr>
        <w:pStyle w:val="ListParagraph"/>
        <w:numPr>
          <w:ilvl w:val="0"/>
          <w:numId w:val="167"/>
        </w:numPr>
        <w:jc w:val="both"/>
        <w:rPr>
          <w:rFonts w:cs="Arial"/>
        </w:rPr>
      </w:pPr>
      <w:r w:rsidRPr="00E835FA">
        <w:rPr>
          <w:rFonts w:cs="Arial"/>
        </w:rPr>
        <w:t xml:space="preserve">Increased forecasts of </w:t>
      </w:r>
      <w:r w:rsidRPr="008C337C">
        <w:rPr>
          <w:rFonts w:cs="Arial"/>
          <w:b/>
        </w:rPr>
        <w:t>£39k</w:t>
      </w:r>
      <w:r w:rsidRPr="00E835FA">
        <w:rPr>
          <w:rFonts w:cs="Arial"/>
        </w:rPr>
        <w:t xml:space="preserve"> in relation to other adult social care spend</w:t>
      </w:r>
      <w:r>
        <w:rPr>
          <w:rFonts w:cs="Arial"/>
        </w:rPr>
        <w:t xml:space="preserve">.  </w:t>
      </w:r>
      <w:r w:rsidRPr="00E835FA">
        <w:rPr>
          <w:rFonts w:cs="Arial"/>
        </w:rPr>
        <w:t>This represents an increase in the overspend for mental health services provided by C</w:t>
      </w:r>
      <w:r>
        <w:rPr>
          <w:rFonts w:cs="Arial"/>
        </w:rPr>
        <w:t xml:space="preserve">entral </w:t>
      </w:r>
      <w:r w:rsidRPr="00E835FA">
        <w:rPr>
          <w:rFonts w:cs="Arial"/>
        </w:rPr>
        <w:t>N</w:t>
      </w:r>
      <w:r>
        <w:rPr>
          <w:rFonts w:cs="Arial"/>
        </w:rPr>
        <w:t xml:space="preserve">orth </w:t>
      </w:r>
      <w:r w:rsidRPr="00E835FA">
        <w:rPr>
          <w:rFonts w:cs="Arial"/>
        </w:rPr>
        <w:t>W</w:t>
      </w:r>
      <w:r>
        <w:rPr>
          <w:rFonts w:cs="Arial"/>
        </w:rPr>
        <w:t xml:space="preserve">est </w:t>
      </w:r>
      <w:r w:rsidRPr="00E835FA">
        <w:rPr>
          <w:rFonts w:cs="Arial"/>
        </w:rPr>
        <w:t>L</w:t>
      </w:r>
      <w:r>
        <w:rPr>
          <w:rFonts w:cs="Arial"/>
        </w:rPr>
        <w:t>ondon</w:t>
      </w:r>
      <w:r w:rsidRPr="00E835FA">
        <w:rPr>
          <w:rFonts w:cs="Arial"/>
        </w:rPr>
        <w:t xml:space="preserve"> and assumes a forecast outturn of £5.230m against a budget of £4.054m</w:t>
      </w:r>
      <w:r>
        <w:rPr>
          <w:rFonts w:cs="Arial"/>
        </w:rPr>
        <w:t>.</w:t>
      </w:r>
    </w:p>
    <w:p w:rsidR="00E835FA" w:rsidRPr="00A51B2C" w:rsidRDefault="00E835FA" w:rsidP="008C337C">
      <w:pPr>
        <w:pStyle w:val="ListParagraph"/>
        <w:rPr>
          <w:rFonts w:cs="Arial"/>
        </w:rPr>
      </w:pPr>
    </w:p>
    <w:p w:rsidR="00E835FA" w:rsidRDefault="00E835FA" w:rsidP="008C337C">
      <w:pPr>
        <w:pStyle w:val="ListParagraph"/>
        <w:numPr>
          <w:ilvl w:val="0"/>
          <w:numId w:val="167"/>
        </w:numPr>
        <w:jc w:val="both"/>
        <w:rPr>
          <w:rFonts w:cs="Arial"/>
        </w:rPr>
      </w:pPr>
      <w:r>
        <w:rPr>
          <w:rFonts w:cs="Arial"/>
        </w:rPr>
        <w:t xml:space="preserve">Increase of </w:t>
      </w:r>
      <w:r w:rsidRPr="008C337C">
        <w:rPr>
          <w:rFonts w:cs="Arial"/>
          <w:b/>
        </w:rPr>
        <w:t>£0.177m</w:t>
      </w:r>
      <w:r>
        <w:rPr>
          <w:rFonts w:cs="Arial"/>
        </w:rPr>
        <w:t xml:space="preserve"> </w:t>
      </w:r>
      <w:r w:rsidRPr="0009319A">
        <w:rPr>
          <w:rFonts w:cs="Arial"/>
        </w:rPr>
        <w:t>in</w:t>
      </w:r>
      <w:r>
        <w:rPr>
          <w:rFonts w:cs="Arial"/>
        </w:rPr>
        <w:t xml:space="preserve"> internally provided service d</w:t>
      </w:r>
      <w:r w:rsidR="0004757A">
        <w:rPr>
          <w:rFonts w:cs="Arial"/>
        </w:rPr>
        <w:t xml:space="preserve">ue to </w:t>
      </w:r>
      <w:r w:rsidR="00491DEC">
        <w:rPr>
          <w:rFonts w:cs="Arial"/>
        </w:rPr>
        <w:t xml:space="preserve">an </w:t>
      </w:r>
      <w:r w:rsidR="0004757A">
        <w:rPr>
          <w:rFonts w:cs="Arial"/>
        </w:rPr>
        <w:t xml:space="preserve">increase in staffing cost </w:t>
      </w:r>
      <w:r w:rsidR="0004757A" w:rsidRPr="0004757A">
        <w:rPr>
          <w:rFonts w:cs="Arial"/>
        </w:rPr>
        <w:t>required to operate safe services offset by underspends on transport and additional income in relation shared lives</w:t>
      </w:r>
      <w:r w:rsidR="0004757A">
        <w:rPr>
          <w:rFonts w:cs="Arial"/>
        </w:rPr>
        <w:t>.</w:t>
      </w:r>
    </w:p>
    <w:p w:rsidR="00E835FA" w:rsidRPr="00A51B2C" w:rsidRDefault="00E835FA" w:rsidP="008C337C">
      <w:pPr>
        <w:pStyle w:val="ListParagraph"/>
        <w:rPr>
          <w:rFonts w:cs="Arial"/>
        </w:rPr>
      </w:pPr>
    </w:p>
    <w:p w:rsidR="00E835FA" w:rsidRPr="008C337C" w:rsidRDefault="00E835FA" w:rsidP="008C337C">
      <w:pPr>
        <w:pStyle w:val="ListParagraph"/>
        <w:numPr>
          <w:ilvl w:val="0"/>
          <w:numId w:val="167"/>
        </w:numPr>
        <w:jc w:val="both"/>
        <w:rPr>
          <w:rFonts w:cs="Arial"/>
        </w:rPr>
      </w:pPr>
      <w:r w:rsidRPr="00E835FA">
        <w:rPr>
          <w:rFonts w:cs="Arial"/>
        </w:rPr>
        <w:t>A reduced forecast of</w:t>
      </w:r>
      <w:r w:rsidRPr="0009319A">
        <w:rPr>
          <w:rFonts w:cs="Arial"/>
        </w:rPr>
        <w:t xml:space="preserve"> </w:t>
      </w:r>
      <w:r w:rsidRPr="0009319A">
        <w:rPr>
          <w:rFonts w:cs="Arial"/>
          <w:b/>
        </w:rPr>
        <w:t>(£</w:t>
      </w:r>
      <w:r w:rsidR="00B97305">
        <w:rPr>
          <w:rFonts w:cs="Arial"/>
          <w:b/>
        </w:rPr>
        <w:t>0.</w:t>
      </w:r>
      <w:r w:rsidRPr="00E835FA">
        <w:rPr>
          <w:rFonts w:cs="Arial"/>
          <w:b/>
        </w:rPr>
        <w:t>124</w:t>
      </w:r>
      <w:r w:rsidR="00B97305">
        <w:rPr>
          <w:rFonts w:cs="Arial"/>
          <w:b/>
        </w:rPr>
        <w:t>m</w:t>
      </w:r>
      <w:r w:rsidRPr="00E835FA">
        <w:rPr>
          <w:rFonts w:cs="Arial"/>
          <w:b/>
        </w:rPr>
        <w:t>)</w:t>
      </w:r>
      <w:r w:rsidRPr="00E835FA">
        <w:rPr>
          <w:rFonts w:cs="Arial"/>
        </w:rPr>
        <w:t xml:space="preserve"> in </w:t>
      </w:r>
      <w:r w:rsidR="007C37DC">
        <w:rPr>
          <w:rFonts w:cs="Arial"/>
        </w:rPr>
        <w:t>relation to the releasing of</w:t>
      </w:r>
      <w:r w:rsidRPr="00E835FA">
        <w:rPr>
          <w:rFonts w:cs="Arial"/>
        </w:rPr>
        <w:t xml:space="preserve"> placement contingency to offset the pressures now being reported</w:t>
      </w:r>
    </w:p>
    <w:p w:rsidR="00133540" w:rsidRPr="00752646" w:rsidRDefault="00133540" w:rsidP="00BC03D5">
      <w:pPr>
        <w:pStyle w:val="ListParagraph"/>
        <w:rPr>
          <w:rFonts w:cs="Arial"/>
        </w:rPr>
      </w:pPr>
    </w:p>
    <w:p w:rsidR="00D76D65" w:rsidRPr="00E7778C" w:rsidRDefault="005C7B77" w:rsidP="00531831">
      <w:pPr>
        <w:pStyle w:val="ListParagraph"/>
        <w:numPr>
          <w:ilvl w:val="0"/>
          <w:numId w:val="173"/>
        </w:numPr>
        <w:ind w:left="567" w:hanging="567"/>
        <w:jc w:val="both"/>
        <w:rPr>
          <w:rFonts w:cs="Arial"/>
        </w:rPr>
      </w:pPr>
      <w:r w:rsidRPr="00E7778C">
        <w:rPr>
          <w:rFonts w:cs="Arial"/>
        </w:rPr>
        <w:t>The forecast continues to assume no additional pressure in relation to s117 cases currently funded 50/50 with health</w:t>
      </w:r>
      <w:r w:rsidR="006B113D">
        <w:rPr>
          <w:rFonts w:cs="Arial"/>
        </w:rPr>
        <w:t>.</w:t>
      </w:r>
    </w:p>
    <w:p w:rsidR="008C79AB" w:rsidRDefault="008C79AB" w:rsidP="008C337C">
      <w:pPr>
        <w:pStyle w:val="ListParagraph"/>
        <w:ind w:left="567"/>
        <w:jc w:val="both"/>
        <w:rPr>
          <w:rFonts w:cs="Arial"/>
        </w:rPr>
      </w:pPr>
    </w:p>
    <w:p w:rsidR="00007076" w:rsidRDefault="00007076" w:rsidP="008C337C">
      <w:pPr>
        <w:pStyle w:val="ListParagraph"/>
        <w:ind w:left="567"/>
        <w:jc w:val="both"/>
        <w:rPr>
          <w:b/>
        </w:rPr>
      </w:pPr>
    </w:p>
    <w:p w:rsidR="009B2455" w:rsidRDefault="009B2455" w:rsidP="008C337C">
      <w:pPr>
        <w:pStyle w:val="ListParagraph"/>
        <w:ind w:left="567"/>
        <w:jc w:val="both"/>
        <w:rPr>
          <w:b/>
        </w:rPr>
      </w:pPr>
    </w:p>
    <w:p w:rsidR="009B2455" w:rsidRDefault="009B2455" w:rsidP="008C337C">
      <w:pPr>
        <w:pStyle w:val="ListParagraph"/>
        <w:ind w:left="567"/>
        <w:jc w:val="both"/>
        <w:rPr>
          <w:b/>
        </w:rPr>
      </w:pPr>
    </w:p>
    <w:p w:rsidR="009B2455" w:rsidRDefault="009B2455" w:rsidP="008C337C">
      <w:pPr>
        <w:pStyle w:val="ListParagraph"/>
        <w:ind w:left="567"/>
        <w:jc w:val="both"/>
        <w:rPr>
          <w:b/>
        </w:rPr>
      </w:pPr>
    </w:p>
    <w:p w:rsidR="00894B09" w:rsidRPr="008C337C" w:rsidRDefault="00894B09" w:rsidP="008C337C">
      <w:pPr>
        <w:pStyle w:val="ListParagraph"/>
        <w:ind w:left="567"/>
        <w:jc w:val="both"/>
        <w:rPr>
          <w:b/>
        </w:rPr>
      </w:pPr>
      <w:r w:rsidRPr="008C337C">
        <w:rPr>
          <w:b/>
        </w:rPr>
        <w:t>Public Health</w:t>
      </w:r>
    </w:p>
    <w:p w:rsidR="00894B09" w:rsidRPr="008C337C" w:rsidRDefault="00894B09" w:rsidP="008C337C">
      <w:pPr>
        <w:pStyle w:val="ListParagraph"/>
        <w:ind w:left="567"/>
        <w:jc w:val="both"/>
        <w:rPr>
          <w:rFonts w:cs="Arial"/>
        </w:rPr>
      </w:pPr>
    </w:p>
    <w:p w:rsidR="00894B09" w:rsidRDefault="001F7015" w:rsidP="00531831">
      <w:pPr>
        <w:pStyle w:val="ListParagraph"/>
        <w:numPr>
          <w:ilvl w:val="0"/>
          <w:numId w:val="173"/>
        </w:numPr>
        <w:ind w:left="567" w:hanging="567"/>
        <w:jc w:val="both"/>
        <w:rPr>
          <w:rFonts w:cs="Arial"/>
        </w:rPr>
      </w:pPr>
      <w:r>
        <w:rPr>
          <w:rFonts w:cs="Arial"/>
        </w:rPr>
        <w:t>At Quarter</w:t>
      </w:r>
      <w:r w:rsidR="00BB719C">
        <w:rPr>
          <w:rFonts w:cs="Arial"/>
        </w:rPr>
        <w:t xml:space="preserve"> 2</w:t>
      </w:r>
      <w:r w:rsidR="00894B09" w:rsidRPr="008C337C">
        <w:rPr>
          <w:rFonts w:cs="Arial"/>
        </w:rPr>
        <w:t xml:space="preserve"> Public Health are forecasting a net underspen</w:t>
      </w:r>
      <w:r w:rsidR="00811F8F">
        <w:rPr>
          <w:rFonts w:cs="Arial"/>
        </w:rPr>
        <w:t>d of (£0.</w:t>
      </w:r>
      <w:r w:rsidR="00311CCD">
        <w:rPr>
          <w:rFonts w:cs="Arial"/>
        </w:rPr>
        <w:t>2</w:t>
      </w:r>
      <w:r w:rsidR="00811F8F">
        <w:rPr>
          <w:rFonts w:cs="Arial"/>
        </w:rPr>
        <w:t>50</w:t>
      </w:r>
      <w:r w:rsidR="00894B09" w:rsidRPr="008C337C">
        <w:rPr>
          <w:rFonts w:cs="Arial"/>
        </w:rPr>
        <w:t xml:space="preserve">m).  This relates </w:t>
      </w:r>
      <w:r w:rsidR="00393DE2" w:rsidRPr="00393DE2">
        <w:rPr>
          <w:rFonts w:cs="Arial"/>
        </w:rPr>
        <w:t>to an underspend in relation to sexual health services and will enable the council to increase the wider determinants of health to be funded by the grant</w:t>
      </w:r>
      <w:r w:rsidR="00393DE2">
        <w:rPr>
          <w:rFonts w:cs="Arial"/>
        </w:rPr>
        <w:t>.</w:t>
      </w:r>
    </w:p>
    <w:p w:rsidR="00894B09" w:rsidRPr="008C337C" w:rsidRDefault="00894B09" w:rsidP="008C337C">
      <w:pPr>
        <w:pStyle w:val="ListParagraph"/>
        <w:ind w:left="567"/>
        <w:jc w:val="both"/>
        <w:rPr>
          <w:rFonts w:cs="Arial"/>
        </w:rPr>
      </w:pPr>
    </w:p>
    <w:p w:rsidR="00894B09" w:rsidRDefault="00894B09" w:rsidP="00531831">
      <w:pPr>
        <w:pStyle w:val="ListParagraph"/>
        <w:numPr>
          <w:ilvl w:val="0"/>
          <w:numId w:val="173"/>
        </w:numPr>
        <w:ind w:left="567" w:hanging="567"/>
        <w:jc w:val="both"/>
        <w:rPr>
          <w:rFonts w:cs="Arial"/>
        </w:rPr>
      </w:pPr>
      <w:r w:rsidRPr="008C337C">
        <w:rPr>
          <w:rFonts w:cs="Arial"/>
        </w:rPr>
        <w:t>Sexual health services across London were re</w:t>
      </w:r>
      <w:r>
        <w:rPr>
          <w:rFonts w:cs="Arial"/>
        </w:rPr>
        <w:t>-</w:t>
      </w:r>
      <w:r w:rsidRPr="008C337C">
        <w:rPr>
          <w:rFonts w:cs="Arial"/>
        </w:rPr>
        <w:t>procured during 2017/18 on a tariff basis with a new contract commencing in August 2017.  This contracted activity is lower than anticipated</w:t>
      </w:r>
      <w:r w:rsidR="00905633">
        <w:rPr>
          <w:rFonts w:cs="Arial"/>
        </w:rPr>
        <w:t xml:space="preserve"> resulting in an underspend, however this is slightly mitigated by </w:t>
      </w:r>
      <w:r w:rsidRPr="008C337C">
        <w:rPr>
          <w:rFonts w:cs="Arial"/>
        </w:rPr>
        <w:t>an increase in testing services delivered through the pan London e-service</w:t>
      </w:r>
      <w:r w:rsidR="00905633">
        <w:rPr>
          <w:rFonts w:cs="Arial"/>
        </w:rPr>
        <w:t xml:space="preserve"> leading to the underspend now reported</w:t>
      </w:r>
      <w:r w:rsidRPr="008C337C">
        <w:rPr>
          <w:rFonts w:cs="Arial"/>
        </w:rPr>
        <w:t>.  This is a demand led statutory service and there is limited comparable activity data, however this is being closely monitored.</w:t>
      </w:r>
    </w:p>
    <w:p w:rsidR="001A43FA" w:rsidRDefault="001A43FA" w:rsidP="00D32FE5">
      <w:pPr>
        <w:pStyle w:val="ListParagraph"/>
        <w:rPr>
          <w:rFonts w:cs="Arial"/>
        </w:rPr>
      </w:pPr>
    </w:p>
    <w:p w:rsidR="00346F22" w:rsidRDefault="00346F22" w:rsidP="008C337C">
      <w:pPr>
        <w:pStyle w:val="ListParagraph"/>
        <w:suppressAutoHyphens/>
        <w:ind w:left="360" w:firstLine="207"/>
        <w:jc w:val="both"/>
        <w:rPr>
          <w:rFonts w:eastAsia="Calibri" w:cs="Arial"/>
          <w:b/>
          <w:szCs w:val="24"/>
        </w:rPr>
      </w:pPr>
    </w:p>
    <w:p w:rsidR="00434369" w:rsidRDefault="00434369" w:rsidP="008C337C">
      <w:pPr>
        <w:pStyle w:val="ListParagraph"/>
        <w:suppressAutoHyphens/>
        <w:ind w:left="360" w:firstLine="207"/>
        <w:jc w:val="both"/>
        <w:rPr>
          <w:rFonts w:eastAsia="Calibri" w:cs="Arial"/>
          <w:b/>
          <w:szCs w:val="24"/>
        </w:rPr>
      </w:pPr>
      <w:r w:rsidRPr="002F6A2F">
        <w:rPr>
          <w:rFonts w:eastAsia="Calibri" w:cs="Arial"/>
          <w:b/>
          <w:szCs w:val="24"/>
        </w:rPr>
        <w:t>Children’s Services</w:t>
      </w:r>
    </w:p>
    <w:p w:rsidR="00365628" w:rsidRPr="002F6A2F" w:rsidRDefault="00365628" w:rsidP="008C337C">
      <w:pPr>
        <w:pStyle w:val="ListParagraph"/>
        <w:suppressAutoHyphens/>
        <w:ind w:left="360" w:firstLine="207"/>
        <w:jc w:val="both"/>
        <w:rPr>
          <w:rFonts w:eastAsia="Calibri" w:cs="Arial"/>
          <w:b/>
          <w:szCs w:val="24"/>
        </w:rPr>
      </w:pPr>
    </w:p>
    <w:p w:rsidR="00434369" w:rsidRDefault="00434369" w:rsidP="00531831">
      <w:pPr>
        <w:pStyle w:val="ListParagraph"/>
        <w:numPr>
          <w:ilvl w:val="0"/>
          <w:numId w:val="173"/>
        </w:numPr>
        <w:ind w:left="567" w:hanging="567"/>
        <w:jc w:val="both"/>
        <w:rPr>
          <w:rFonts w:cs="Arial"/>
        </w:rPr>
      </w:pPr>
      <w:r>
        <w:rPr>
          <w:rFonts w:cs="Arial"/>
        </w:rPr>
        <w:t xml:space="preserve">In 2018/19 the directorate received budget growth of £2.9m in response to a significant </w:t>
      </w:r>
      <w:r w:rsidRPr="003377CC">
        <w:rPr>
          <w:rFonts w:cs="Arial"/>
        </w:rPr>
        <w:t>increase in the number of young people and families and</w:t>
      </w:r>
      <w:r>
        <w:rPr>
          <w:rFonts w:cs="Arial"/>
        </w:rPr>
        <w:t xml:space="preserve"> complexity of need in 2016/</w:t>
      </w:r>
      <w:r w:rsidRPr="003377CC">
        <w:rPr>
          <w:rFonts w:cs="Arial"/>
        </w:rPr>
        <w:t>17</w:t>
      </w:r>
      <w:r>
        <w:rPr>
          <w:rFonts w:cs="Arial"/>
        </w:rPr>
        <w:t>.</w:t>
      </w:r>
    </w:p>
    <w:p w:rsidR="002413B4" w:rsidRDefault="002413B4" w:rsidP="0094250E">
      <w:pPr>
        <w:pStyle w:val="ListParagraph"/>
        <w:ind w:left="567"/>
        <w:jc w:val="both"/>
        <w:rPr>
          <w:rFonts w:cs="Arial"/>
        </w:rPr>
      </w:pPr>
    </w:p>
    <w:p w:rsidR="00901B63" w:rsidRPr="008C337C" w:rsidRDefault="00901B63" w:rsidP="00531831">
      <w:pPr>
        <w:pStyle w:val="ListParagraph"/>
        <w:numPr>
          <w:ilvl w:val="0"/>
          <w:numId w:val="173"/>
        </w:numPr>
        <w:ind w:left="567" w:hanging="567"/>
        <w:jc w:val="both"/>
        <w:rPr>
          <w:rFonts w:cs="Arial"/>
          <w:b/>
        </w:rPr>
      </w:pPr>
      <w:r w:rsidRPr="00901B63">
        <w:rPr>
          <w:rFonts w:cs="Arial"/>
        </w:rPr>
        <w:t>The forecast for the directorate is a headline pressure of £</w:t>
      </w:r>
      <w:r>
        <w:rPr>
          <w:rFonts w:cs="Arial"/>
        </w:rPr>
        <w:t>0.</w:t>
      </w:r>
      <w:r w:rsidRPr="00901B63">
        <w:rPr>
          <w:rFonts w:cs="Arial"/>
        </w:rPr>
        <w:t>915</w:t>
      </w:r>
      <w:r>
        <w:rPr>
          <w:rFonts w:cs="Arial"/>
        </w:rPr>
        <w:t>m</w:t>
      </w:r>
      <w:r w:rsidRPr="00901B63">
        <w:rPr>
          <w:rFonts w:cs="Arial"/>
        </w:rPr>
        <w:t xml:space="preserve"> offset by underspends and management actions of £1.229m resulting in a net underspend of </w:t>
      </w:r>
      <w:r w:rsidR="00A27ACB">
        <w:rPr>
          <w:rFonts w:cs="Arial"/>
        </w:rPr>
        <w:t>(</w:t>
      </w:r>
      <w:r w:rsidRPr="00901B63">
        <w:rPr>
          <w:rFonts w:cs="Arial"/>
        </w:rPr>
        <w:t>£</w:t>
      </w:r>
      <w:r>
        <w:rPr>
          <w:rFonts w:cs="Arial"/>
        </w:rPr>
        <w:t>0.</w:t>
      </w:r>
      <w:r w:rsidR="00BB719C">
        <w:rPr>
          <w:rFonts w:cs="Arial"/>
        </w:rPr>
        <w:t>31</w:t>
      </w:r>
      <w:r w:rsidR="00A27ACB">
        <w:rPr>
          <w:rFonts w:cs="Arial"/>
        </w:rPr>
        <w:t>4</w:t>
      </w:r>
      <w:r>
        <w:rPr>
          <w:rFonts w:cs="Arial"/>
        </w:rPr>
        <w:t>m</w:t>
      </w:r>
      <w:r w:rsidR="00A27ACB">
        <w:rPr>
          <w:rFonts w:cs="Arial"/>
        </w:rPr>
        <w:t>)</w:t>
      </w:r>
      <w:r>
        <w:rPr>
          <w:rFonts w:cs="Arial"/>
        </w:rPr>
        <w:t xml:space="preserve"> at </w:t>
      </w:r>
      <w:r w:rsidR="001F7015">
        <w:rPr>
          <w:rFonts w:cs="Arial"/>
        </w:rPr>
        <w:t xml:space="preserve">Quarter </w:t>
      </w:r>
      <w:r w:rsidR="00BB719C">
        <w:rPr>
          <w:rFonts w:cs="Arial"/>
        </w:rPr>
        <w:t>2</w:t>
      </w:r>
      <w:r>
        <w:rPr>
          <w:rFonts w:cs="Arial"/>
        </w:rPr>
        <w:t xml:space="preserve">, an improvement </w:t>
      </w:r>
      <w:r w:rsidR="00BB719C">
        <w:rPr>
          <w:rFonts w:cs="Arial"/>
        </w:rPr>
        <w:t xml:space="preserve">of </w:t>
      </w:r>
      <w:r w:rsidR="00A27ACB">
        <w:rPr>
          <w:rFonts w:cs="Arial"/>
        </w:rPr>
        <w:t>(</w:t>
      </w:r>
      <w:r w:rsidR="00BB719C">
        <w:rPr>
          <w:rFonts w:cs="Arial"/>
        </w:rPr>
        <w:t>£0.31</w:t>
      </w:r>
      <w:r w:rsidR="00A27ACB">
        <w:rPr>
          <w:rFonts w:cs="Arial"/>
        </w:rPr>
        <w:t>4</w:t>
      </w:r>
      <w:r>
        <w:rPr>
          <w:rFonts w:cs="Arial"/>
        </w:rPr>
        <w:t>m</w:t>
      </w:r>
      <w:r w:rsidR="00A27ACB">
        <w:rPr>
          <w:rFonts w:cs="Arial"/>
        </w:rPr>
        <w:t>)</w:t>
      </w:r>
      <w:r>
        <w:rPr>
          <w:rFonts w:cs="Arial"/>
        </w:rPr>
        <w:t xml:space="preserve"> when compare</w:t>
      </w:r>
      <w:r w:rsidR="00024DD4">
        <w:rPr>
          <w:rFonts w:cs="Arial"/>
        </w:rPr>
        <w:t>d</w:t>
      </w:r>
      <w:r>
        <w:rPr>
          <w:rFonts w:cs="Arial"/>
        </w:rPr>
        <w:t xml:space="preserve"> to</w:t>
      </w:r>
      <w:r w:rsidR="00C549E3">
        <w:rPr>
          <w:rFonts w:cs="Arial"/>
        </w:rPr>
        <w:t xml:space="preserve"> the balanced position reported in</w:t>
      </w:r>
      <w:r w:rsidR="001F7015">
        <w:rPr>
          <w:rFonts w:cs="Arial"/>
        </w:rPr>
        <w:t xml:space="preserve"> Q</w:t>
      </w:r>
      <w:r>
        <w:rPr>
          <w:rFonts w:cs="Arial"/>
        </w:rPr>
        <w:t>1.</w:t>
      </w:r>
      <w:r w:rsidRPr="00901B63">
        <w:rPr>
          <w:rFonts w:cs="Arial"/>
        </w:rPr>
        <w:t xml:space="preserve"> </w:t>
      </w:r>
    </w:p>
    <w:p w:rsidR="000E7E3D" w:rsidRPr="00EB34DC" w:rsidRDefault="000E7E3D" w:rsidP="00BC03D5">
      <w:pPr>
        <w:pStyle w:val="ListParagraph"/>
        <w:rPr>
          <w:rFonts w:cs="Arial"/>
        </w:rPr>
      </w:pPr>
    </w:p>
    <w:p w:rsidR="000E7E3D" w:rsidRDefault="00901B63" w:rsidP="00531831">
      <w:pPr>
        <w:pStyle w:val="ListParagraph"/>
        <w:numPr>
          <w:ilvl w:val="0"/>
          <w:numId w:val="173"/>
        </w:numPr>
        <w:ind w:left="567" w:hanging="567"/>
        <w:rPr>
          <w:rFonts w:cs="Arial"/>
        </w:rPr>
      </w:pPr>
      <w:r w:rsidRPr="00901B63">
        <w:rPr>
          <w:rFonts w:cs="Arial"/>
        </w:rPr>
        <w:t>The following paragraphs summarise the over and unde</w:t>
      </w:r>
      <w:r w:rsidR="00D76D65">
        <w:rPr>
          <w:rFonts w:cs="Arial"/>
        </w:rPr>
        <w:t>r spends across the directorate</w:t>
      </w:r>
      <w:r>
        <w:rPr>
          <w:rFonts w:cs="Arial"/>
        </w:rPr>
        <w:t>;</w:t>
      </w:r>
    </w:p>
    <w:p w:rsidR="000E7E3D" w:rsidRPr="00EB34DC" w:rsidRDefault="000E7E3D" w:rsidP="00BC03D5">
      <w:pPr>
        <w:pStyle w:val="ListParagraph"/>
        <w:jc w:val="both"/>
        <w:rPr>
          <w:rFonts w:cs="Arial"/>
        </w:rPr>
      </w:pPr>
    </w:p>
    <w:p w:rsidR="000E7E3D" w:rsidRDefault="000E7E3D" w:rsidP="00531831">
      <w:pPr>
        <w:pStyle w:val="ListParagraph"/>
        <w:numPr>
          <w:ilvl w:val="0"/>
          <w:numId w:val="173"/>
        </w:numPr>
        <w:ind w:left="567" w:hanging="567"/>
        <w:jc w:val="both"/>
        <w:rPr>
          <w:rFonts w:cs="Arial"/>
        </w:rPr>
      </w:pPr>
      <w:r w:rsidRPr="00BC03D5">
        <w:rPr>
          <w:rFonts w:cs="Arial"/>
          <w:b/>
        </w:rPr>
        <w:t xml:space="preserve">SEN Transport £0.169m </w:t>
      </w:r>
      <w:r w:rsidRPr="000E7E3D">
        <w:rPr>
          <w:rFonts w:cs="Arial"/>
          <w:b/>
        </w:rPr>
        <w:t>Overspend</w:t>
      </w:r>
      <w:r>
        <w:rPr>
          <w:rFonts w:cs="Arial"/>
        </w:rPr>
        <w:t xml:space="preserve"> - S</w:t>
      </w:r>
      <w:r w:rsidRPr="00CE6C12">
        <w:rPr>
          <w:rFonts w:cs="Arial"/>
        </w:rPr>
        <w:t xml:space="preserve">EN Transport provides home to school and home to further education settings for children and young people in education with Education Health and Care Plans (EHCPs). </w:t>
      </w:r>
      <w:r>
        <w:rPr>
          <w:rFonts w:cs="Arial"/>
        </w:rPr>
        <w:t xml:space="preserve">At this early stage in the year it is anticipated that there will be a pressure on this budget due to an increase in the number of young people eligible for transport particularly in the post 16 and post 19 phases, the latter of which results in transport being provided for a cohort of young people who previously did not receive a service. </w:t>
      </w:r>
      <w:r w:rsidRPr="00CE6C12">
        <w:rPr>
          <w:rFonts w:cs="Arial"/>
        </w:rPr>
        <w:t xml:space="preserve">Work </w:t>
      </w:r>
      <w:r>
        <w:rPr>
          <w:rFonts w:cs="Arial"/>
        </w:rPr>
        <w:t>will continue to be</w:t>
      </w:r>
      <w:r w:rsidRPr="00CE6C12">
        <w:rPr>
          <w:rFonts w:cs="Arial"/>
        </w:rPr>
        <w:t xml:space="preserve"> undertaken this year to ensure that transport requirements are subject to annual review, routes are shared with other LAs where possible, and the most cost effective type of transport is used</w:t>
      </w:r>
      <w:r>
        <w:rPr>
          <w:rFonts w:cs="Arial"/>
        </w:rPr>
        <w:t>.</w:t>
      </w:r>
    </w:p>
    <w:p w:rsidR="000E7E3D" w:rsidRPr="00EB34DC" w:rsidRDefault="000E7E3D" w:rsidP="00BC03D5">
      <w:pPr>
        <w:pStyle w:val="ListParagraph"/>
        <w:jc w:val="both"/>
        <w:rPr>
          <w:rFonts w:cs="Arial"/>
        </w:rPr>
      </w:pPr>
    </w:p>
    <w:p w:rsidR="000E7E3D" w:rsidRDefault="000E7E3D" w:rsidP="00531831">
      <w:pPr>
        <w:pStyle w:val="ListParagraph"/>
        <w:numPr>
          <w:ilvl w:val="0"/>
          <w:numId w:val="173"/>
        </w:numPr>
        <w:ind w:left="567" w:hanging="567"/>
        <w:jc w:val="both"/>
        <w:rPr>
          <w:rFonts w:cs="Arial"/>
        </w:rPr>
      </w:pPr>
      <w:r>
        <w:rPr>
          <w:rFonts w:cs="Arial"/>
          <w:b/>
        </w:rPr>
        <w:t>Alexandra Avenue Premises Costs £</w:t>
      </w:r>
      <w:r w:rsidR="00901B63">
        <w:rPr>
          <w:rFonts w:cs="Arial"/>
          <w:b/>
        </w:rPr>
        <w:t>5</w:t>
      </w:r>
      <w:r>
        <w:rPr>
          <w:rFonts w:cs="Arial"/>
          <w:b/>
        </w:rPr>
        <w:t xml:space="preserve">5k overspend - </w:t>
      </w:r>
      <w:r w:rsidRPr="00BD7FA7">
        <w:rPr>
          <w:rFonts w:cs="Arial"/>
        </w:rPr>
        <w:t>The lease for the floor space occupied by S</w:t>
      </w:r>
      <w:r w:rsidR="00730AE8">
        <w:rPr>
          <w:rFonts w:cs="Arial"/>
        </w:rPr>
        <w:t xml:space="preserve">pecial </w:t>
      </w:r>
      <w:r w:rsidRPr="00BD7FA7">
        <w:rPr>
          <w:rFonts w:cs="Arial"/>
        </w:rPr>
        <w:t>E</w:t>
      </w:r>
      <w:r w:rsidR="00730AE8">
        <w:rPr>
          <w:rFonts w:cs="Arial"/>
        </w:rPr>
        <w:t xml:space="preserve">ducation </w:t>
      </w:r>
      <w:r w:rsidRPr="00BD7FA7">
        <w:rPr>
          <w:rFonts w:cs="Arial"/>
        </w:rPr>
        <w:t>N</w:t>
      </w:r>
      <w:r w:rsidR="00730AE8">
        <w:rPr>
          <w:rFonts w:cs="Arial"/>
        </w:rPr>
        <w:t>eed</w:t>
      </w:r>
      <w:r w:rsidRPr="00BD7FA7">
        <w:rPr>
          <w:rFonts w:cs="Arial"/>
        </w:rPr>
        <w:t xml:space="preserve"> </w:t>
      </w:r>
      <w:r w:rsidR="00730AE8">
        <w:rPr>
          <w:rFonts w:cs="Arial"/>
        </w:rPr>
        <w:t xml:space="preserve">(SEN) </w:t>
      </w:r>
      <w:r w:rsidRPr="00BD7FA7">
        <w:rPr>
          <w:rFonts w:cs="Arial"/>
        </w:rPr>
        <w:t>and C</w:t>
      </w:r>
      <w:r w:rsidR="00730AE8">
        <w:rPr>
          <w:rFonts w:cs="Arial"/>
        </w:rPr>
        <w:t>hildren</w:t>
      </w:r>
      <w:r w:rsidR="00024DD4">
        <w:rPr>
          <w:rFonts w:cs="Arial"/>
        </w:rPr>
        <w:t xml:space="preserve"> and</w:t>
      </w:r>
      <w:r w:rsidR="00730AE8">
        <w:rPr>
          <w:rFonts w:cs="Arial"/>
        </w:rPr>
        <w:t xml:space="preserve"> </w:t>
      </w:r>
      <w:r w:rsidRPr="00BD7FA7">
        <w:rPr>
          <w:rFonts w:cs="Arial"/>
        </w:rPr>
        <w:t>Y</w:t>
      </w:r>
      <w:r w:rsidR="00730AE8">
        <w:rPr>
          <w:rFonts w:cs="Arial"/>
        </w:rPr>
        <w:t xml:space="preserve">oung </w:t>
      </w:r>
      <w:r w:rsidRPr="00BD7FA7">
        <w:rPr>
          <w:rFonts w:cs="Arial"/>
        </w:rPr>
        <w:t>A</w:t>
      </w:r>
      <w:r w:rsidR="00730AE8">
        <w:rPr>
          <w:rFonts w:cs="Arial"/>
        </w:rPr>
        <w:t xml:space="preserve">dult </w:t>
      </w:r>
      <w:r w:rsidRPr="00BD7FA7">
        <w:rPr>
          <w:rFonts w:cs="Arial"/>
        </w:rPr>
        <w:t>D</w:t>
      </w:r>
      <w:r w:rsidR="00730AE8">
        <w:rPr>
          <w:rFonts w:cs="Arial"/>
        </w:rPr>
        <w:t>isability</w:t>
      </w:r>
      <w:r w:rsidRPr="00BD7FA7">
        <w:rPr>
          <w:rFonts w:cs="Arial"/>
        </w:rPr>
        <w:t xml:space="preserve"> officers at Alexandra Avenue Health Centre has increased by £</w:t>
      </w:r>
      <w:r w:rsidR="00901B63">
        <w:rPr>
          <w:rFonts w:cs="Arial"/>
        </w:rPr>
        <w:t>1</w:t>
      </w:r>
      <w:r w:rsidRPr="00BD7FA7">
        <w:rPr>
          <w:rFonts w:cs="Arial"/>
        </w:rPr>
        <w:t xml:space="preserve">5k which is a combination of inflation and additional service charges. </w:t>
      </w:r>
      <w:r w:rsidR="00901B63" w:rsidRPr="00901B63">
        <w:rPr>
          <w:rFonts w:cs="Arial"/>
        </w:rPr>
        <w:t>In addition there is a requirement for the telephony system to be replaced at Alexandra Avenue at a cost of £40k</w:t>
      </w:r>
      <w:r w:rsidR="00901B63">
        <w:rPr>
          <w:rFonts w:cs="Arial"/>
        </w:rPr>
        <w:t>.</w:t>
      </w:r>
    </w:p>
    <w:p w:rsidR="000E7E3D" w:rsidRPr="00EB34DC" w:rsidRDefault="000E7E3D" w:rsidP="00BC03D5">
      <w:pPr>
        <w:pStyle w:val="ListParagraph"/>
        <w:jc w:val="both"/>
        <w:rPr>
          <w:rFonts w:cs="Arial"/>
        </w:rPr>
      </w:pPr>
    </w:p>
    <w:p w:rsidR="000E7E3D" w:rsidRDefault="000E7E3D" w:rsidP="00531831">
      <w:pPr>
        <w:pStyle w:val="ListParagraph"/>
        <w:numPr>
          <w:ilvl w:val="0"/>
          <w:numId w:val="173"/>
        </w:numPr>
        <w:ind w:left="567" w:hanging="567"/>
        <w:jc w:val="both"/>
        <w:rPr>
          <w:rFonts w:cs="Arial"/>
        </w:rPr>
      </w:pPr>
      <w:r w:rsidRPr="00C549E3">
        <w:rPr>
          <w:rFonts w:cs="Arial"/>
          <w:b/>
        </w:rPr>
        <w:t>SEN Assessment Service &amp; Educational Psychology £9</w:t>
      </w:r>
      <w:r w:rsidR="00901B63" w:rsidRPr="00C549E3">
        <w:rPr>
          <w:rFonts w:cs="Arial"/>
          <w:b/>
        </w:rPr>
        <w:t>1</w:t>
      </w:r>
      <w:r w:rsidRPr="00C549E3">
        <w:rPr>
          <w:rFonts w:cs="Arial"/>
          <w:b/>
        </w:rPr>
        <w:t>k</w:t>
      </w:r>
      <w:r w:rsidR="00901B63" w:rsidRPr="00C549E3">
        <w:rPr>
          <w:rFonts w:cs="Arial"/>
          <w:lang w:val="en"/>
        </w:rPr>
        <w:t xml:space="preserve">. </w:t>
      </w:r>
      <w:r w:rsidRPr="00C549E3">
        <w:rPr>
          <w:rFonts w:cs="Arial"/>
        </w:rPr>
        <w:t xml:space="preserve"> In the short term </w:t>
      </w:r>
      <w:r w:rsidR="00901B63" w:rsidRPr="00C549E3">
        <w:rPr>
          <w:rFonts w:cs="Arial"/>
        </w:rPr>
        <w:t>- There has been an increase in request</w:t>
      </w:r>
      <w:r w:rsidR="00024DD4">
        <w:rPr>
          <w:rFonts w:cs="Arial"/>
        </w:rPr>
        <w:t>s</w:t>
      </w:r>
      <w:r w:rsidR="00901B63" w:rsidRPr="00C549E3">
        <w:rPr>
          <w:rFonts w:cs="Arial"/>
        </w:rPr>
        <w:t xml:space="preserve"> for Education Health &amp; Care Plan (EHCPs) assessments from 156 in 2013-14 (p</w:t>
      </w:r>
      <w:r w:rsidR="00BB719C" w:rsidRPr="00C549E3">
        <w:rPr>
          <w:rFonts w:cs="Arial"/>
        </w:rPr>
        <w:t>re SEND Reforms) to 217 in 2016/</w:t>
      </w:r>
      <w:r w:rsidR="00901B63" w:rsidRPr="00C549E3">
        <w:rPr>
          <w:rFonts w:cs="Arial"/>
        </w:rPr>
        <w:t>17, an increase of 37%. Since September 2017 to June 2018 there have been 243 new assessment requests. In 2012 there were 1,158 statements/EHCP compared with 1,477 in 2016. Significantly, in 2012 there were just 97 plans for post 16 and in 2016 this had risen to 339 (of which 40 are Post 20).</w:t>
      </w:r>
      <w:r w:rsidR="00C549E3" w:rsidRPr="00C549E3">
        <w:rPr>
          <w:rFonts w:cs="Arial"/>
        </w:rPr>
        <w:t xml:space="preserve"> </w:t>
      </w:r>
      <w:r w:rsidRPr="00A97550">
        <w:rPr>
          <w:rFonts w:cs="Arial"/>
        </w:rPr>
        <w:t>In the short term 2 additional SEN caseworkers and one part time educational psychology will be employed to manage the current demand for assessments and casework as well as to provide capacity so that the SEND strategy can be driven forward, delivered and embedded in the operational practice. These posts are over and above establishment</w:t>
      </w:r>
      <w:r>
        <w:rPr>
          <w:rFonts w:cs="Arial"/>
        </w:rPr>
        <w:t>.</w:t>
      </w:r>
    </w:p>
    <w:p w:rsidR="000E7E3D" w:rsidRPr="00EB34DC" w:rsidRDefault="000E7E3D" w:rsidP="00BC03D5">
      <w:pPr>
        <w:pStyle w:val="ListParagraph"/>
        <w:jc w:val="both"/>
        <w:rPr>
          <w:rFonts w:cs="Arial"/>
        </w:rPr>
      </w:pPr>
    </w:p>
    <w:p w:rsidR="000E7E3D" w:rsidRDefault="000E7E3D" w:rsidP="00531831">
      <w:pPr>
        <w:pStyle w:val="ListParagraph"/>
        <w:numPr>
          <w:ilvl w:val="0"/>
          <w:numId w:val="173"/>
        </w:numPr>
        <w:ind w:left="567" w:hanging="567"/>
        <w:jc w:val="both"/>
        <w:rPr>
          <w:rFonts w:cs="Arial"/>
        </w:rPr>
      </w:pPr>
      <w:r>
        <w:rPr>
          <w:rFonts w:cs="Arial"/>
          <w:b/>
        </w:rPr>
        <w:t>Capital Programme Dispute Resolution £</w:t>
      </w:r>
      <w:r w:rsidR="00E01ED5">
        <w:rPr>
          <w:rFonts w:cs="Arial"/>
          <w:b/>
        </w:rPr>
        <w:t>0.</w:t>
      </w:r>
      <w:r>
        <w:rPr>
          <w:rFonts w:cs="Arial"/>
          <w:b/>
        </w:rPr>
        <w:t>100</w:t>
      </w:r>
      <w:r w:rsidR="00E01ED5">
        <w:rPr>
          <w:rFonts w:cs="Arial"/>
          <w:b/>
        </w:rPr>
        <w:t>m</w:t>
      </w:r>
      <w:r>
        <w:rPr>
          <w:rFonts w:cs="Arial"/>
          <w:b/>
        </w:rPr>
        <w:t xml:space="preserve"> overspend - </w:t>
      </w:r>
      <w:r>
        <w:rPr>
          <w:rFonts w:cs="Arial"/>
        </w:rPr>
        <w:t xml:space="preserve">The overspend relates to costs for external legal services and external commercial and technical advice services in relation to continued efforts to close the accounts for School Expansion Programme phase </w:t>
      </w:r>
      <w:r w:rsidRPr="003377CC">
        <w:rPr>
          <w:rFonts w:cs="Arial"/>
        </w:rPr>
        <w:t>2 (SEP2)</w:t>
      </w:r>
      <w:r>
        <w:rPr>
          <w:rFonts w:cs="Arial"/>
        </w:rPr>
        <w:t>.</w:t>
      </w:r>
    </w:p>
    <w:p w:rsidR="00E01ED5" w:rsidRPr="0019235D" w:rsidRDefault="00E01ED5" w:rsidP="00BC03D5">
      <w:pPr>
        <w:pStyle w:val="ListParagraph"/>
        <w:jc w:val="both"/>
        <w:rPr>
          <w:rFonts w:cs="Arial"/>
        </w:rPr>
      </w:pPr>
    </w:p>
    <w:p w:rsidR="00E01ED5" w:rsidRDefault="00E01ED5" w:rsidP="00531831">
      <w:pPr>
        <w:pStyle w:val="ListParagraph"/>
        <w:numPr>
          <w:ilvl w:val="0"/>
          <w:numId w:val="173"/>
        </w:numPr>
        <w:ind w:left="567" w:hanging="567"/>
        <w:jc w:val="both"/>
        <w:rPr>
          <w:rFonts w:cs="Arial"/>
        </w:rPr>
      </w:pPr>
      <w:r>
        <w:rPr>
          <w:rFonts w:cs="Arial"/>
          <w:b/>
        </w:rPr>
        <w:t xml:space="preserve">Frontline </w:t>
      </w:r>
      <w:r w:rsidRPr="003377CC">
        <w:rPr>
          <w:rFonts w:cs="Arial"/>
          <w:b/>
        </w:rPr>
        <w:t>Teams Staffing &amp; Other Costs £</w:t>
      </w:r>
      <w:r>
        <w:rPr>
          <w:rFonts w:cs="Arial"/>
          <w:b/>
        </w:rPr>
        <w:t>0.3</w:t>
      </w:r>
      <w:r w:rsidR="00A27ACB">
        <w:rPr>
          <w:rFonts w:cs="Arial"/>
          <w:b/>
        </w:rPr>
        <w:t>62</w:t>
      </w:r>
      <w:r>
        <w:rPr>
          <w:rFonts w:cs="Arial"/>
          <w:b/>
        </w:rPr>
        <w:t>m</w:t>
      </w:r>
      <w:r w:rsidRPr="003377CC">
        <w:rPr>
          <w:rFonts w:cs="Arial"/>
          <w:b/>
        </w:rPr>
        <w:t xml:space="preserve"> overspend</w:t>
      </w:r>
      <w:r w:rsidRPr="00400925">
        <w:rPr>
          <w:rFonts w:cs="Arial"/>
        </w:rPr>
        <w:t xml:space="preserve"> </w:t>
      </w:r>
      <w:r>
        <w:rPr>
          <w:rFonts w:cs="Arial"/>
        </w:rPr>
        <w:t>- T</w:t>
      </w:r>
      <w:r w:rsidRPr="00400925">
        <w:rPr>
          <w:rFonts w:cs="Arial"/>
        </w:rPr>
        <w:t xml:space="preserve">he main pressure is as a result of agency staff covering vacant posts, sickness and maternity together with ‘as and when’ required staff carrying out supervised contact. </w:t>
      </w:r>
      <w:r>
        <w:rPr>
          <w:rFonts w:cs="Arial"/>
        </w:rPr>
        <w:t>Agency costs should be kept to a minimum due to the permanent recruitment of overseas social workers as well as social workers who completed the front-line and step-up programmes. However it is anticipated that there will always be a pressure on staffing since the full establishment is required to be filled in order to safely maintain service delivery meaning cover will always be required for long term sick and maternity leave. In addition to this there is a pressure on non-staffing costs particularly in relation to recruitment fees, staff expenses and IT/phone equipment and charges.</w:t>
      </w:r>
    </w:p>
    <w:p w:rsidR="00B14955" w:rsidRPr="00A51B2C" w:rsidRDefault="00B14955" w:rsidP="008C337C">
      <w:pPr>
        <w:pStyle w:val="ListParagraph"/>
        <w:rPr>
          <w:rFonts w:cs="Arial"/>
        </w:rPr>
      </w:pPr>
    </w:p>
    <w:p w:rsidR="00B14955" w:rsidRDefault="00B14955" w:rsidP="00531831">
      <w:pPr>
        <w:pStyle w:val="ListParagraph"/>
        <w:numPr>
          <w:ilvl w:val="0"/>
          <w:numId w:val="173"/>
        </w:numPr>
        <w:spacing w:line="276" w:lineRule="auto"/>
        <w:ind w:left="567" w:hanging="567"/>
        <w:rPr>
          <w:rFonts w:cs="Arial"/>
        </w:rPr>
      </w:pPr>
      <w:r w:rsidRPr="00995858">
        <w:rPr>
          <w:rFonts w:cs="Arial"/>
          <w:b/>
        </w:rPr>
        <w:t xml:space="preserve">Harrow School Improvement Partnership </w:t>
      </w:r>
      <w:r w:rsidRPr="005C71CC">
        <w:rPr>
          <w:rFonts w:cs="Arial"/>
          <w:b/>
        </w:rPr>
        <w:t>Overspend of</w:t>
      </w:r>
      <w:r w:rsidRPr="00995858">
        <w:rPr>
          <w:rFonts w:cs="Arial"/>
          <w:b/>
        </w:rPr>
        <w:t xml:space="preserve"> </w:t>
      </w:r>
      <w:r>
        <w:rPr>
          <w:rFonts w:cs="Arial"/>
          <w:b/>
        </w:rPr>
        <w:t xml:space="preserve"> </w:t>
      </w:r>
      <w:r w:rsidRPr="00995858">
        <w:rPr>
          <w:rFonts w:cs="Arial"/>
          <w:b/>
        </w:rPr>
        <w:t>£88K</w:t>
      </w:r>
      <w:r w:rsidRPr="005C71CC">
        <w:rPr>
          <w:rFonts w:eastAsia="Calibri" w:cs="Arial"/>
          <w:sz w:val="22"/>
          <w:szCs w:val="22"/>
        </w:rPr>
        <w:t xml:space="preserve"> </w:t>
      </w:r>
      <w:r>
        <w:rPr>
          <w:rFonts w:eastAsia="Calibri" w:cs="Arial"/>
          <w:sz w:val="22"/>
          <w:szCs w:val="22"/>
        </w:rPr>
        <w:t xml:space="preserve"> - </w:t>
      </w:r>
      <w:r w:rsidRPr="00AD4145">
        <w:rPr>
          <w:rFonts w:cs="Arial"/>
        </w:rPr>
        <w:t>This this being due to one off severance costs as a result of a restructure to move the service from a traded service to a statutory service</w:t>
      </w:r>
      <w:r>
        <w:rPr>
          <w:rFonts w:cs="Arial"/>
        </w:rPr>
        <w:t>.</w:t>
      </w:r>
    </w:p>
    <w:p w:rsidR="00A27ACB" w:rsidRPr="009E69CE" w:rsidRDefault="00A27ACB" w:rsidP="008C337C">
      <w:pPr>
        <w:pStyle w:val="ListParagraph"/>
        <w:rPr>
          <w:rFonts w:cs="Arial"/>
        </w:rPr>
      </w:pPr>
    </w:p>
    <w:p w:rsidR="00A27ACB" w:rsidRPr="00AD4145" w:rsidRDefault="00A27ACB" w:rsidP="00531831">
      <w:pPr>
        <w:pStyle w:val="ListParagraph"/>
        <w:numPr>
          <w:ilvl w:val="0"/>
          <w:numId w:val="173"/>
        </w:numPr>
        <w:spacing w:line="276" w:lineRule="auto"/>
        <w:ind w:left="567" w:hanging="567"/>
        <w:rPr>
          <w:rFonts w:cs="Arial"/>
        </w:rPr>
      </w:pPr>
      <w:r>
        <w:rPr>
          <w:rFonts w:cs="Arial"/>
        </w:rPr>
        <w:t xml:space="preserve">Other service pressure due to shortfall in income and contract cost of </w:t>
      </w:r>
      <w:r w:rsidRPr="008C337C">
        <w:rPr>
          <w:rFonts w:cs="Arial"/>
          <w:b/>
        </w:rPr>
        <w:t>£50k</w:t>
      </w:r>
      <w:r>
        <w:rPr>
          <w:rFonts w:cs="Arial"/>
        </w:rPr>
        <w:t>.</w:t>
      </w:r>
    </w:p>
    <w:p w:rsidR="000E7E3D" w:rsidRPr="00EB34DC" w:rsidRDefault="000E7E3D" w:rsidP="00BC03D5">
      <w:pPr>
        <w:pStyle w:val="ListParagraph"/>
        <w:jc w:val="both"/>
        <w:rPr>
          <w:rFonts w:cs="Arial"/>
        </w:rPr>
      </w:pPr>
    </w:p>
    <w:p w:rsidR="000E7E3D" w:rsidRDefault="000E7E3D" w:rsidP="00531831">
      <w:pPr>
        <w:pStyle w:val="ListParagraph"/>
        <w:numPr>
          <w:ilvl w:val="0"/>
          <w:numId w:val="173"/>
        </w:numPr>
        <w:ind w:left="567" w:hanging="567"/>
        <w:jc w:val="both"/>
        <w:rPr>
          <w:rFonts w:cs="Arial"/>
        </w:rPr>
      </w:pPr>
      <w:r>
        <w:rPr>
          <w:rFonts w:cs="Arial"/>
        </w:rPr>
        <w:t>The pressures above are offset by the following underspends:</w:t>
      </w:r>
    </w:p>
    <w:p w:rsidR="000E7E3D" w:rsidRPr="00EB34DC" w:rsidRDefault="000E7E3D" w:rsidP="00BC03D5">
      <w:pPr>
        <w:pStyle w:val="ListParagraph"/>
        <w:jc w:val="both"/>
        <w:rPr>
          <w:rFonts w:cs="Arial"/>
        </w:rPr>
      </w:pPr>
    </w:p>
    <w:p w:rsidR="005C71CC" w:rsidRPr="00C549E3" w:rsidRDefault="000E7E3D" w:rsidP="00531831">
      <w:pPr>
        <w:pStyle w:val="ListParagraph"/>
        <w:numPr>
          <w:ilvl w:val="0"/>
          <w:numId w:val="173"/>
        </w:numPr>
        <w:ind w:left="567" w:hanging="567"/>
        <w:jc w:val="both"/>
        <w:rPr>
          <w:rFonts w:cs="Arial"/>
        </w:rPr>
      </w:pPr>
      <w:r w:rsidRPr="00C549E3">
        <w:rPr>
          <w:rFonts w:cs="Arial"/>
          <w:b/>
        </w:rPr>
        <w:t xml:space="preserve">Children’s Placements &amp; Accommodation </w:t>
      </w:r>
      <w:r w:rsidR="00BB719C" w:rsidRPr="00C549E3">
        <w:rPr>
          <w:rFonts w:cs="Arial"/>
          <w:b/>
        </w:rPr>
        <w:t>(</w:t>
      </w:r>
      <w:r w:rsidRPr="00C549E3">
        <w:rPr>
          <w:rFonts w:cs="Arial"/>
          <w:b/>
        </w:rPr>
        <w:t>£</w:t>
      </w:r>
      <w:r w:rsidR="00E01ED5" w:rsidRPr="00C549E3">
        <w:rPr>
          <w:rFonts w:cs="Arial"/>
          <w:b/>
        </w:rPr>
        <w:t>0.</w:t>
      </w:r>
      <w:r w:rsidR="005C71CC" w:rsidRPr="00C549E3">
        <w:rPr>
          <w:rFonts w:cs="Arial"/>
          <w:b/>
        </w:rPr>
        <w:t>610</w:t>
      </w:r>
      <w:r w:rsidR="00E01ED5" w:rsidRPr="00C549E3">
        <w:rPr>
          <w:rFonts w:cs="Arial"/>
          <w:b/>
        </w:rPr>
        <w:t>m</w:t>
      </w:r>
      <w:r w:rsidR="00BB719C" w:rsidRPr="00C549E3">
        <w:rPr>
          <w:rFonts w:cs="Arial"/>
          <w:b/>
        </w:rPr>
        <w:t>)</w:t>
      </w:r>
      <w:r w:rsidRPr="00C549E3">
        <w:rPr>
          <w:rFonts w:cs="Arial"/>
          <w:b/>
        </w:rPr>
        <w:t xml:space="preserve"> underspend</w:t>
      </w:r>
      <w:r w:rsidRPr="00C549E3">
        <w:rPr>
          <w:rFonts w:cs="Arial"/>
        </w:rPr>
        <w:t xml:space="preserve"> - </w:t>
      </w:r>
      <w:r w:rsidR="005C71CC" w:rsidRPr="00C549E3">
        <w:rPr>
          <w:rFonts w:cs="Arial"/>
        </w:rPr>
        <w:t xml:space="preserve">The forecast is projecting an underspend of </w:t>
      </w:r>
      <w:r w:rsidR="00A27ACB">
        <w:rPr>
          <w:rFonts w:cs="Arial"/>
        </w:rPr>
        <w:t>(</w:t>
      </w:r>
      <w:r w:rsidR="005C71CC" w:rsidRPr="00C549E3">
        <w:rPr>
          <w:rFonts w:cs="Arial"/>
        </w:rPr>
        <w:t>£</w:t>
      </w:r>
      <w:r w:rsidR="00870CE7">
        <w:rPr>
          <w:rFonts w:cs="Arial"/>
        </w:rPr>
        <w:t>0.</w:t>
      </w:r>
      <w:r w:rsidR="005C71CC" w:rsidRPr="00C549E3">
        <w:rPr>
          <w:rFonts w:cs="Arial"/>
        </w:rPr>
        <w:t>610</w:t>
      </w:r>
      <w:r w:rsidR="00870CE7">
        <w:rPr>
          <w:rFonts w:cs="Arial"/>
        </w:rPr>
        <w:t>m</w:t>
      </w:r>
      <w:r w:rsidR="00A27ACB">
        <w:rPr>
          <w:rFonts w:cs="Arial"/>
        </w:rPr>
        <w:t>)</w:t>
      </w:r>
      <w:r w:rsidR="005C71CC" w:rsidRPr="00C549E3">
        <w:rPr>
          <w:rFonts w:cs="Arial"/>
        </w:rPr>
        <w:t xml:space="preserve"> which is the full year effect of a number of reductions and planned actio</w:t>
      </w:r>
      <w:r w:rsidR="00BB719C" w:rsidRPr="00C549E3">
        <w:rPr>
          <w:rFonts w:cs="Arial"/>
        </w:rPr>
        <w:t>ns that were undertaken in 2017/</w:t>
      </w:r>
      <w:r w:rsidR="005C71CC" w:rsidRPr="00C549E3">
        <w:rPr>
          <w:rFonts w:cs="Arial"/>
        </w:rPr>
        <w:t>18 primarily in relation to returning children home from care or stepping down into more cost effective placements where it is safe to do so. The forecast in 2018-19 allows for some capacity for growth in the number of young people or complexity of placement requirements. This is calculated based on placements which started and finished in-year in 2017</w:t>
      </w:r>
      <w:r w:rsidR="00B14955" w:rsidRPr="00C549E3">
        <w:rPr>
          <w:rFonts w:cs="Arial"/>
        </w:rPr>
        <w:t>/</w:t>
      </w:r>
      <w:r w:rsidR="005C71CC" w:rsidRPr="00C549E3">
        <w:rPr>
          <w:rFonts w:cs="Arial"/>
        </w:rPr>
        <w:t>18 and assumes the same activity will reoccur in 2018</w:t>
      </w:r>
      <w:r w:rsidR="00B14955" w:rsidRPr="00C549E3">
        <w:rPr>
          <w:rFonts w:cs="Arial"/>
        </w:rPr>
        <w:t>/</w:t>
      </w:r>
      <w:r w:rsidR="005C71CC" w:rsidRPr="00C549E3">
        <w:rPr>
          <w:rFonts w:cs="Arial"/>
        </w:rPr>
        <w:t>19. As the months progress if this growth is not materialising then it is possible that this forecast will reduce further.</w:t>
      </w:r>
      <w:r w:rsidR="00C549E3" w:rsidRPr="00C549E3">
        <w:rPr>
          <w:rFonts w:cs="Arial"/>
        </w:rPr>
        <w:t xml:space="preserve">  </w:t>
      </w:r>
      <w:r w:rsidR="005C71CC" w:rsidRPr="00C549E3">
        <w:rPr>
          <w:rFonts w:cs="Arial"/>
        </w:rPr>
        <w:t xml:space="preserve">The forecast </w:t>
      </w:r>
      <w:r w:rsidR="001F7015">
        <w:rPr>
          <w:rFonts w:cs="Arial"/>
        </w:rPr>
        <w:t>in Q</w:t>
      </w:r>
      <w:r w:rsidR="00B14955" w:rsidRPr="00C549E3">
        <w:rPr>
          <w:rFonts w:cs="Arial"/>
        </w:rPr>
        <w:t>2</w:t>
      </w:r>
      <w:r w:rsidR="005C71CC" w:rsidRPr="00C549E3">
        <w:rPr>
          <w:rFonts w:cs="Arial"/>
        </w:rPr>
        <w:t xml:space="preserve"> is projecting an increased underspend of </w:t>
      </w:r>
      <w:r w:rsidR="00B14955" w:rsidRPr="00C549E3">
        <w:rPr>
          <w:rFonts w:cs="Arial"/>
        </w:rPr>
        <w:t>(</w:t>
      </w:r>
      <w:r w:rsidR="005C71CC" w:rsidRPr="00C549E3">
        <w:rPr>
          <w:rFonts w:cs="Arial"/>
        </w:rPr>
        <w:t>£0.373m</w:t>
      </w:r>
      <w:r w:rsidR="00B14955" w:rsidRPr="00C549E3">
        <w:rPr>
          <w:rFonts w:cs="Arial"/>
        </w:rPr>
        <w:t>)</w:t>
      </w:r>
      <w:r w:rsidR="001F7015">
        <w:rPr>
          <w:rFonts w:cs="Arial"/>
        </w:rPr>
        <w:t xml:space="preserve"> </w:t>
      </w:r>
      <w:r w:rsidR="00905633">
        <w:rPr>
          <w:rFonts w:cs="Arial"/>
        </w:rPr>
        <w:t xml:space="preserve">from </w:t>
      </w:r>
      <w:r w:rsidR="00905633" w:rsidRPr="00C549E3">
        <w:rPr>
          <w:rFonts w:cs="Arial"/>
        </w:rPr>
        <w:t>Q1</w:t>
      </w:r>
      <w:r w:rsidR="005C71CC" w:rsidRPr="00C549E3">
        <w:rPr>
          <w:rFonts w:cs="Arial"/>
        </w:rPr>
        <w:t>.  This is as a result of half year adjustments on anticipated costs not materialising. There have also been a number of ended placements where children have returned home or moved to independence where it has been safe to do so.</w:t>
      </w:r>
    </w:p>
    <w:p w:rsidR="00C549E3" w:rsidRPr="009E69CE" w:rsidRDefault="00C549E3" w:rsidP="008C337C">
      <w:pPr>
        <w:pStyle w:val="ListParagraph"/>
        <w:rPr>
          <w:rFonts w:cs="Arial"/>
        </w:rPr>
      </w:pPr>
    </w:p>
    <w:p w:rsidR="00C549E3" w:rsidRDefault="00C549E3" w:rsidP="00531831">
      <w:pPr>
        <w:pStyle w:val="ListParagraph"/>
        <w:numPr>
          <w:ilvl w:val="0"/>
          <w:numId w:val="173"/>
        </w:numPr>
        <w:ind w:left="567" w:hanging="567"/>
        <w:jc w:val="both"/>
        <w:rPr>
          <w:rFonts w:cs="Arial"/>
        </w:rPr>
      </w:pPr>
      <w:r w:rsidRPr="008C337C">
        <w:rPr>
          <w:rFonts w:cs="Arial"/>
          <w:b/>
        </w:rPr>
        <w:t>Section 17 and No Recourse to Public Funds (NRPF) (£97k)</w:t>
      </w:r>
      <w:r w:rsidRPr="00C549E3">
        <w:rPr>
          <w:rFonts w:cs="Arial"/>
        </w:rPr>
        <w:t xml:space="preserve"> underspend </w:t>
      </w:r>
    </w:p>
    <w:p w:rsidR="00070E53" w:rsidRPr="00CE6501" w:rsidRDefault="00070E53" w:rsidP="00531831">
      <w:pPr>
        <w:pStyle w:val="ListParagraph"/>
        <w:rPr>
          <w:rFonts w:cs="Arial"/>
        </w:rPr>
      </w:pPr>
    </w:p>
    <w:p w:rsidR="00386B8A" w:rsidRDefault="00C549E3" w:rsidP="00531831">
      <w:pPr>
        <w:pStyle w:val="ListParagraph"/>
        <w:numPr>
          <w:ilvl w:val="0"/>
          <w:numId w:val="173"/>
        </w:numPr>
        <w:ind w:left="567" w:hanging="567"/>
        <w:jc w:val="both"/>
        <w:rPr>
          <w:rFonts w:cs="Arial"/>
        </w:rPr>
      </w:pPr>
      <w:r w:rsidRPr="00C549E3">
        <w:rPr>
          <w:rFonts w:cs="Arial"/>
        </w:rPr>
        <w:t>Expenditure relates to families being supported by the Council because they have no recourse to public funds (NRPF) and also provides support and subsistence payments to children in need. Regular tracking &amp; monitoring to enable decisions for families to be made in a timely way to enable access to benefits</w:t>
      </w:r>
      <w:r w:rsidR="005E6B9B">
        <w:rPr>
          <w:rFonts w:cs="Arial"/>
        </w:rPr>
        <w:t>.</w:t>
      </w:r>
    </w:p>
    <w:p w:rsidR="005E6B9B" w:rsidRDefault="005E6B9B">
      <w:pPr>
        <w:pStyle w:val="ListParagraph"/>
        <w:ind w:left="567"/>
        <w:jc w:val="both"/>
        <w:rPr>
          <w:rFonts w:cs="Arial"/>
        </w:rPr>
      </w:pPr>
    </w:p>
    <w:p w:rsidR="00E650C6" w:rsidRDefault="00E650C6" w:rsidP="00531831">
      <w:pPr>
        <w:pStyle w:val="ListParagraph"/>
        <w:numPr>
          <w:ilvl w:val="0"/>
          <w:numId w:val="173"/>
        </w:numPr>
        <w:ind w:left="567" w:hanging="567"/>
        <w:jc w:val="both"/>
        <w:rPr>
          <w:rFonts w:cs="Arial"/>
        </w:rPr>
      </w:pPr>
      <w:r>
        <w:rPr>
          <w:rFonts w:cs="Arial"/>
          <w:b/>
        </w:rPr>
        <w:t xml:space="preserve">Departmental </w:t>
      </w:r>
      <w:r w:rsidRPr="0022424D">
        <w:rPr>
          <w:rFonts w:cs="Arial"/>
          <w:b/>
        </w:rPr>
        <w:t xml:space="preserve">Legal </w:t>
      </w:r>
      <w:r w:rsidR="00C11DAD" w:rsidRPr="0022424D">
        <w:rPr>
          <w:rFonts w:cs="Arial"/>
          <w:b/>
        </w:rPr>
        <w:t>Costs</w:t>
      </w:r>
      <w:r w:rsidR="00C11DAD">
        <w:rPr>
          <w:rFonts w:cs="Arial"/>
          <w:b/>
        </w:rPr>
        <w:t xml:space="preserve"> </w:t>
      </w:r>
      <w:r w:rsidR="00C549E3">
        <w:rPr>
          <w:rFonts w:cs="Arial"/>
          <w:b/>
        </w:rPr>
        <w:t>(</w:t>
      </w:r>
      <w:r w:rsidR="00C11DAD" w:rsidRPr="0022424D">
        <w:rPr>
          <w:rFonts w:cs="Arial"/>
          <w:b/>
        </w:rPr>
        <w:t>£</w:t>
      </w:r>
      <w:r w:rsidR="00E01ED5">
        <w:rPr>
          <w:rFonts w:cs="Arial"/>
          <w:b/>
        </w:rPr>
        <w:t>0.</w:t>
      </w:r>
      <w:r w:rsidR="005C71CC">
        <w:rPr>
          <w:rFonts w:cs="Arial"/>
          <w:b/>
        </w:rPr>
        <w:t>312</w:t>
      </w:r>
      <w:r w:rsidR="00E01ED5">
        <w:rPr>
          <w:rFonts w:cs="Arial"/>
          <w:b/>
        </w:rPr>
        <w:t>m</w:t>
      </w:r>
      <w:r w:rsidR="00C549E3">
        <w:rPr>
          <w:rFonts w:cs="Arial"/>
          <w:b/>
        </w:rPr>
        <w:t>)</w:t>
      </w:r>
      <w:r>
        <w:rPr>
          <w:rFonts w:cs="Arial"/>
          <w:b/>
        </w:rPr>
        <w:t xml:space="preserve"> </w:t>
      </w:r>
      <w:r w:rsidRPr="004F2667">
        <w:rPr>
          <w:rFonts w:cs="Arial"/>
          <w:b/>
        </w:rPr>
        <w:t>underspend</w:t>
      </w:r>
      <w:r>
        <w:rPr>
          <w:rFonts w:cs="Arial"/>
          <w:b/>
        </w:rPr>
        <w:t xml:space="preserve"> - </w:t>
      </w:r>
      <w:r w:rsidRPr="0022424D">
        <w:rPr>
          <w:rFonts w:cs="Arial"/>
        </w:rPr>
        <w:t>The expenditure relates to external legal fees for care proceedings including counsel, court fees, experts and assessments. The</w:t>
      </w:r>
      <w:r w:rsidR="0020299F">
        <w:rPr>
          <w:rFonts w:cs="Arial"/>
        </w:rPr>
        <w:t xml:space="preserve"> </w:t>
      </w:r>
      <w:r w:rsidRPr="0022424D">
        <w:rPr>
          <w:rFonts w:cs="Arial"/>
        </w:rPr>
        <w:t>underspend is due to an increase in the number of Public Law Outline (PLO) pre proceedings work by 30%. This is in order to ensure that as much work has been carried out as possible before or instead of the beginning of care proceedings as well as carrying out any necessary assessments and work with the family which may either delay or incur additional costs once the care proceedings have begun</w:t>
      </w:r>
      <w:r>
        <w:rPr>
          <w:rFonts w:cs="Arial"/>
        </w:rPr>
        <w:t>.</w:t>
      </w:r>
    </w:p>
    <w:p w:rsidR="00B14955" w:rsidRPr="00A51B2C" w:rsidRDefault="00B14955" w:rsidP="008C337C">
      <w:pPr>
        <w:pStyle w:val="ListParagraph"/>
        <w:ind w:left="567" w:hanging="567"/>
        <w:rPr>
          <w:rFonts w:cs="Arial"/>
        </w:rPr>
      </w:pPr>
    </w:p>
    <w:p w:rsidR="00B14955" w:rsidRPr="008C337C" w:rsidRDefault="00A27ACB" w:rsidP="00531831">
      <w:pPr>
        <w:pStyle w:val="ListParagraph"/>
        <w:numPr>
          <w:ilvl w:val="0"/>
          <w:numId w:val="173"/>
        </w:numPr>
        <w:ind w:left="567" w:hanging="567"/>
        <w:jc w:val="both"/>
        <w:rPr>
          <w:rFonts w:cs="Arial"/>
          <w:b/>
        </w:rPr>
      </w:pPr>
      <w:r>
        <w:rPr>
          <w:rFonts w:cs="Arial"/>
          <w:b/>
        </w:rPr>
        <w:t>M</w:t>
      </w:r>
      <w:r w:rsidR="00B14955" w:rsidRPr="008C337C">
        <w:rPr>
          <w:rFonts w:cs="Arial"/>
          <w:b/>
        </w:rPr>
        <w:t>anagement actions</w:t>
      </w:r>
      <w:r>
        <w:rPr>
          <w:rFonts w:cs="Arial"/>
          <w:b/>
        </w:rPr>
        <w:t xml:space="preserve"> across the service (£0.210m)</w:t>
      </w:r>
    </w:p>
    <w:p w:rsidR="00E650C6" w:rsidRDefault="00E650C6" w:rsidP="008C337C">
      <w:pPr>
        <w:pStyle w:val="ListParagraph"/>
        <w:ind w:left="567" w:hanging="567"/>
        <w:jc w:val="both"/>
        <w:rPr>
          <w:rFonts w:cs="Arial"/>
        </w:rPr>
      </w:pPr>
    </w:p>
    <w:p w:rsidR="00974E77" w:rsidRDefault="00974E77" w:rsidP="008C337C">
      <w:pPr>
        <w:pStyle w:val="ListParagraph"/>
        <w:ind w:left="567" w:hanging="567"/>
        <w:jc w:val="both"/>
        <w:rPr>
          <w:rFonts w:cs="Arial"/>
        </w:rPr>
      </w:pPr>
    </w:p>
    <w:p w:rsidR="00174457" w:rsidRDefault="00174457" w:rsidP="008C337C">
      <w:pPr>
        <w:pStyle w:val="ListParagraph"/>
        <w:ind w:left="567" w:hanging="567"/>
        <w:jc w:val="both"/>
        <w:rPr>
          <w:rFonts w:cs="Arial"/>
        </w:rPr>
      </w:pPr>
    </w:p>
    <w:p w:rsidR="00DC3A87" w:rsidRPr="00BC03D5" w:rsidRDefault="00DC3A87" w:rsidP="00DC3A87">
      <w:pPr>
        <w:suppressAutoHyphens/>
        <w:spacing w:after="200" w:line="276" w:lineRule="auto"/>
        <w:jc w:val="both"/>
        <w:rPr>
          <w:rFonts w:cs="Arial"/>
          <w:b/>
          <w:bCs/>
          <w:szCs w:val="24"/>
          <w:u w:val="single"/>
          <w:lang w:eastAsia="ar-SA"/>
        </w:rPr>
      </w:pPr>
      <w:r w:rsidRPr="00BC03D5">
        <w:rPr>
          <w:rFonts w:cs="Arial"/>
          <w:b/>
          <w:bCs/>
          <w:szCs w:val="24"/>
          <w:u w:val="single"/>
          <w:lang w:eastAsia="ar-SA"/>
        </w:rPr>
        <w:t>HOUSING REVENUE ACCOUNT</w:t>
      </w:r>
    </w:p>
    <w:p w:rsidR="00642B4C" w:rsidRDefault="0017640E" w:rsidP="00531831">
      <w:pPr>
        <w:pStyle w:val="ListParagraph"/>
        <w:numPr>
          <w:ilvl w:val="0"/>
          <w:numId w:val="173"/>
        </w:numPr>
        <w:ind w:left="567" w:hanging="567"/>
        <w:jc w:val="both"/>
        <w:rPr>
          <w:rFonts w:cs="Arial"/>
        </w:rPr>
      </w:pPr>
      <w:r w:rsidRPr="00642B4C">
        <w:rPr>
          <w:rFonts w:cs="Arial"/>
        </w:rPr>
        <w:t>A</w:t>
      </w:r>
      <w:r w:rsidR="00491DEC">
        <w:rPr>
          <w:rFonts w:cs="Arial"/>
        </w:rPr>
        <w:t xml:space="preserve">t </w:t>
      </w:r>
      <w:r w:rsidRPr="00642B4C">
        <w:rPr>
          <w:rFonts w:cs="Arial"/>
        </w:rPr>
        <w:t xml:space="preserve">Quarter </w:t>
      </w:r>
      <w:r w:rsidR="00642B4C" w:rsidRPr="00642B4C">
        <w:rPr>
          <w:rFonts w:cs="Arial"/>
        </w:rPr>
        <w:t>2</w:t>
      </w:r>
      <w:r w:rsidRPr="00642B4C">
        <w:rPr>
          <w:rFonts w:cs="Arial"/>
        </w:rPr>
        <w:t xml:space="preserve">, the HRA </w:t>
      </w:r>
      <w:r w:rsidR="00642B4C" w:rsidRPr="00642B4C">
        <w:rPr>
          <w:rFonts w:cs="Arial"/>
        </w:rPr>
        <w:t>is forecasting an under spend of (£0.180m)</w:t>
      </w:r>
      <w:r w:rsidR="001F7015">
        <w:rPr>
          <w:rFonts w:cs="Arial"/>
        </w:rPr>
        <w:t xml:space="preserve">, an improvement </w:t>
      </w:r>
      <w:r w:rsidR="00CE08B0">
        <w:rPr>
          <w:rFonts w:cs="Arial"/>
        </w:rPr>
        <w:t xml:space="preserve">against </w:t>
      </w:r>
      <w:r w:rsidR="00CE08B0" w:rsidRPr="00642B4C">
        <w:rPr>
          <w:rFonts w:cs="Arial"/>
        </w:rPr>
        <w:t>Q1</w:t>
      </w:r>
      <w:r w:rsidR="00642B4C" w:rsidRPr="00642B4C">
        <w:rPr>
          <w:rFonts w:cs="Arial"/>
        </w:rPr>
        <w:t xml:space="preserve"> </w:t>
      </w:r>
      <w:r w:rsidR="00CE08B0" w:rsidRPr="00642B4C">
        <w:rPr>
          <w:rFonts w:cs="Arial"/>
        </w:rPr>
        <w:t>of (</w:t>
      </w:r>
      <w:r w:rsidR="00642B4C" w:rsidRPr="00642B4C">
        <w:rPr>
          <w:rFonts w:cs="Arial"/>
        </w:rPr>
        <w:t>£0.509m), due mainly to reduced expenditure on repai</w:t>
      </w:r>
      <w:r w:rsidR="00C31F1C">
        <w:rPr>
          <w:rFonts w:cs="Arial"/>
        </w:rPr>
        <w:t>rs and bad debt provision and</w:t>
      </w:r>
      <w:r w:rsidR="00642B4C" w:rsidRPr="00642B4C">
        <w:rPr>
          <w:rFonts w:cs="Arial"/>
        </w:rPr>
        <w:t xml:space="preserve"> increased proportion of Homes-4-Harrow expenditure qualifying as capital. The estimated deficit on the HRA revenue account is forecast at (£0.919m) which will reduce revenue reserves to an estimated £6.6m.</w:t>
      </w:r>
    </w:p>
    <w:p w:rsidR="0017640E" w:rsidRPr="00642B4C" w:rsidRDefault="00642B4C">
      <w:pPr>
        <w:pStyle w:val="ListParagraph"/>
        <w:ind w:left="567"/>
        <w:jc w:val="both"/>
        <w:rPr>
          <w:rFonts w:cs="Arial"/>
        </w:rPr>
      </w:pPr>
      <w:r w:rsidRPr="00642B4C">
        <w:rPr>
          <w:rFonts w:cs="Arial"/>
        </w:rPr>
        <w:t xml:space="preserve">  </w:t>
      </w:r>
    </w:p>
    <w:p w:rsidR="0017640E" w:rsidRPr="00BC03D5" w:rsidRDefault="0017640E" w:rsidP="00531831">
      <w:pPr>
        <w:pStyle w:val="ListParagraph"/>
        <w:numPr>
          <w:ilvl w:val="0"/>
          <w:numId w:val="173"/>
        </w:numPr>
        <w:ind w:left="567" w:hanging="567"/>
        <w:jc w:val="both"/>
        <w:rPr>
          <w:rFonts w:cs="Arial"/>
        </w:rPr>
      </w:pPr>
      <w:r w:rsidRPr="00BC03D5">
        <w:rPr>
          <w:rFonts w:cs="Arial"/>
          <w:bCs/>
        </w:rPr>
        <w:t>Service reviews, aimed at reducing expenditure and increasing income, are ongoing to stabilise</w:t>
      </w:r>
      <w:r w:rsidR="00C62552">
        <w:rPr>
          <w:rFonts w:cs="Arial"/>
          <w:bCs/>
        </w:rPr>
        <w:t xml:space="preserve"> the </w:t>
      </w:r>
      <w:r w:rsidRPr="00BC03D5">
        <w:rPr>
          <w:rFonts w:cs="Arial"/>
          <w:bCs/>
        </w:rPr>
        <w:t>HRA position as a result of the impact of ongoing Government reforms including rent reduction,</w:t>
      </w:r>
      <w:r w:rsidR="00491DEC">
        <w:rPr>
          <w:rFonts w:cs="Arial"/>
          <w:bCs/>
        </w:rPr>
        <w:t xml:space="preserve"> </w:t>
      </w:r>
      <w:r w:rsidRPr="00BC03D5">
        <w:rPr>
          <w:rFonts w:cs="Arial"/>
          <w:bCs/>
        </w:rPr>
        <w:t xml:space="preserve">and welfare reforms. </w:t>
      </w:r>
      <w:r w:rsidR="00491DEC">
        <w:rPr>
          <w:rFonts w:cs="Arial"/>
          <w:bCs/>
        </w:rPr>
        <w:t>The a</w:t>
      </w:r>
      <w:r w:rsidRPr="00BC03D5">
        <w:rPr>
          <w:rFonts w:cs="Arial"/>
          <w:bCs/>
        </w:rPr>
        <w:t>pproved budget assumes revenue cost reductions and increased income of £1.9m per annum by March 2021.</w:t>
      </w:r>
    </w:p>
    <w:p w:rsidR="0017640E" w:rsidRPr="00BC03D5" w:rsidRDefault="0017640E" w:rsidP="00BC03D5">
      <w:pPr>
        <w:pStyle w:val="ListParagraph"/>
        <w:rPr>
          <w:rFonts w:cs="Arial"/>
        </w:rPr>
      </w:pPr>
    </w:p>
    <w:p w:rsidR="00DC3A87" w:rsidRPr="00E9767D" w:rsidRDefault="00DC3A87" w:rsidP="00531831">
      <w:pPr>
        <w:pStyle w:val="ListParagraph"/>
        <w:numPr>
          <w:ilvl w:val="0"/>
          <w:numId w:val="173"/>
        </w:numPr>
        <w:ind w:left="567" w:hanging="567"/>
        <w:jc w:val="both"/>
        <w:rPr>
          <w:rFonts w:cs="Arial"/>
        </w:rPr>
      </w:pPr>
      <w:r w:rsidRPr="00E9767D">
        <w:rPr>
          <w:rFonts w:cs="Arial"/>
        </w:rPr>
        <w:t>If this is not achieved the HRA will be at risk of becoming unviable which is not legally permitted. Restrictions on borrowing have required a reduction in planned investment scheme to ensure only statutory and essential health &amp; safety works are carried out.</w:t>
      </w:r>
    </w:p>
    <w:p w:rsidR="00DC3A87" w:rsidRPr="00E9767D" w:rsidRDefault="00DC3A87" w:rsidP="0094250E">
      <w:pPr>
        <w:pStyle w:val="ListParagraph"/>
        <w:rPr>
          <w:rFonts w:cs="Arial"/>
        </w:rPr>
      </w:pPr>
    </w:p>
    <w:p w:rsidR="0017640E" w:rsidRPr="0019235D" w:rsidRDefault="0017640E" w:rsidP="00531831">
      <w:pPr>
        <w:pStyle w:val="ListParagraph"/>
        <w:numPr>
          <w:ilvl w:val="0"/>
          <w:numId w:val="173"/>
        </w:numPr>
        <w:ind w:left="567" w:hanging="567"/>
        <w:jc w:val="both"/>
        <w:rPr>
          <w:rFonts w:cs="Arial"/>
        </w:rPr>
      </w:pPr>
      <w:r w:rsidRPr="00E9767D">
        <w:rPr>
          <w:bCs/>
        </w:rPr>
        <w:t>Although, phase 1 of Grange Farm Regeneration scheme, which has secured</w:t>
      </w:r>
      <w:r w:rsidR="00C62552">
        <w:rPr>
          <w:bCs/>
        </w:rPr>
        <w:t xml:space="preserve"> the</w:t>
      </w:r>
      <w:r w:rsidRPr="00E9767D">
        <w:rPr>
          <w:bCs/>
        </w:rPr>
        <w:t xml:space="preserve"> planning consent and external HIF funding, will be proceeding, a review of </w:t>
      </w:r>
      <w:r w:rsidR="00491DEC">
        <w:rPr>
          <w:bCs/>
        </w:rPr>
        <w:t xml:space="preserve">the </w:t>
      </w:r>
      <w:r w:rsidRPr="00E9767D">
        <w:rPr>
          <w:bCs/>
        </w:rPr>
        <w:t>HRA Business Plan is underway to ensure capacity exists to complete the Infill programme and initiate a wider spectrum of new build schemes to reverse sustained stock depletion from right to buys.</w:t>
      </w:r>
    </w:p>
    <w:p w:rsidR="0017640E" w:rsidRPr="00BC03D5" w:rsidRDefault="0017640E" w:rsidP="00BC03D5">
      <w:pPr>
        <w:pStyle w:val="ListParagraph"/>
        <w:rPr>
          <w:rFonts w:cs="Arial"/>
        </w:rPr>
      </w:pPr>
    </w:p>
    <w:p w:rsidR="000E3FBF" w:rsidRPr="00663391" w:rsidRDefault="000E3FBF" w:rsidP="00531831">
      <w:pPr>
        <w:pStyle w:val="ListParagraph"/>
        <w:numPr>
          <w:ilvl w:val="0"/>
          <w:numId w:val="173"/>
        </w:numPr>
        <w:ind w:left="567" w:hanging="567"/>
        <w:jc w:val="both"/>
        <w:rPr>
          <w:rFonts w:cs="Arial"/>
        </w:rPr>
      </w:pPr>
      <w:r>
        <w:rPr>
          <w:bCs/>
        </w:rPr>
        <w:t xml:space="preserve">Ministry of Housing Community and Local Government </w:t>
      </w:r>
      <w:r w:rsidRPr="000E3FBF">
        <w:rPr>
          <w:bCs/>
        </w:rPr>
        <w:t xml:space="preserve">has recently abolished the HRA borrowing cap which </w:t>
      </w:r>
      <w:r w:rsidRPr="000E3FBF">
        <w:rPr>
          <w:b/>
          <w:bCs/>
        </w:rPr>
        <w:t>has</w:t>
      </w:r>
      <w:r w:rsidRPr="000E3FBF">
        <w:rPr>
          <w:bCs/>
        </w:rPr>
        <w:t xml:space="preserve"> been confirmed by government in the recent budget announcement,  and combined with Council’s successful bid for £32.144m grant funding from GLA in accordance with the Mayor’s “Building Council Homes for Londoners” programme, will enable an additional 618 units to be built </w:t>
      </w:r>
      <w:r>
        <w:rPr>
          <w:bCs/>
        </w:rPr>
        <w:t>.</w:t>
      </w:r>
    </w:p>
    <w:p w:rsidR="000E3FBF" w:rsidRPr="009C2951" w:rsidRDefault="000E3FBF" w:rsidP="008C337C">
      <w:pPr>
        <w:pStyle w:val="ListParagraph"/>
        <w:rPr>
          <w:bCs/>
        </w:rPr>
      </w:pPr>
    </w:p>
    <w:p w:rsidR="000E3FBF" w:rsidRPr="00663391" w:rsidRDefault="000E3FBF" w:rsidP="00531831">
      <w:pPr>
        <w:pStyle w:val="ListParagraph"/>
        <w:numPr>
          <w:ilvl w:val="0"/>
          <w:numId w:val="173"/>
        </w:numPr>
        <w:ind w:left="567" w:hanging="567"/>
        <w:jc w:val="both"/>
        <w:rPr>
          <w:rFonts w:cs="Arial"/>
        </w:rPr>
      </w:pPr>
      <w:r w:rsidRPr="000E3FBF">
        <w:rPr>
          <w:bCs/>
        </w:rPr>
        <w:t>As well as significantly reversing the impact of historic R</w:t>
      </w:r>
      <w:r>
        <w:rPr>
          <w:bCs/>
        </w:rPr>
        <w:t xml:space="preserve">ent </w:t>
      </w:r>
      <w:r w:rsidRPr="000E3FBF">
        <w:rPr>
          <w:bCs/>
        </w:rPr>
        <w:t>T</w:t>
      </w:r>
      <w:r>
        <w:rPr>
          <w:bCs/>
        </w:rPr>
        <w:t xml:space="preserve">o </w:t>
      </w:r>
      <w:r w:rsidRPr="000E3FBF">
        <w:rPr>
          <w:bCs/>
        </w:rPr>
        <w:t>B</w:t>
      </w:r>
      <w:r>
        <w:rPr>
          <w:bCs/>
        </w:rPr>
        <w:t>uy</w:t>
      </w:r>
      <w:r w:rsidRPr="000E3FBF">
        <w:rPr>
          <w:bCs/>
        </w:rPr>
        <w:t xml:space="preserve"> losses, these additional units will also improve the capacity to provide accommodation for homeless families thereby mitigating pressures on General Fund by potentially increasing social units available to permanently house homeless tenants</w:t>
      </w:r>
      <w:r>
        <w:rPr>
          <w:bCs/>
        </w:rPr>
        <w:t>.</w:t>
      </w:r>
    </w:p>
    <w:p w:rsidR="000E3FBF" w:rsidRPr="009C2951" w:rsidRDefault="000E3FBF" w:rsidP="008C337C">
      <w:pPr>
        <w:pStyle w:val="ListParagraph"/>
        <w:rPr>
          <w:rFonts w:cs="Arial"/>
        </w:rPr>
      </w:pPr>
    </w:p>
    <w:p w:rsidR="000E3FBF" w:rsidRPr="00663391" w:rsidRDefault="000E3FBF" w:rsidP="00531831">
      <w:pPr>
        <w:pStyle w:val="ListParagraph"/>
        <w:numPr>
          <w:ilvl w:val="0"/>
          <w:numId w:val="173"/>
        </w:numPr>
        <w:ind w:left="567" w:hanging="567"/>
        <w:jc w:val="both"/>
        <w:rPr>
          <w:rFonts w:cs="Arial"/>
        </w:rPr>
      </w:pPr>
      <w:r w:rsidRPr="000E3FBF">
        <w:rPr>
          <w:rFonts w:cs="Arial"/>
        </w:rPr>
        <w:t>Officers are now working up the delivery plan for the new Homes for Harrow programme which will also be presented to Cabinet for approval in February 2019</w:t>
      </w:r>
      <w:r>
        <w:rPr>
          <w:rFonts w:cs="Arial"/>
        </w:rPr>
        <w:t>.</w:t>
      </w:r>
    </w:p>
    <w:p w:rsidR="000E3FBF" w:rsidRPr="009C2951" w:rsidRDefault="000E3FBF" w:rsidP="008C337C">
      <w:pPr>
        <w:pStyle w:val="ListParagraph"/>
        <w:rPr>
          <w:bCs/>
        </w:rPr>
      </w:pPr>
    </w:p>
    <w:p w:rsidR="0017640E" w:rsidRPr="00531831" w:rsidRDefault="0017640E" w:rsidP="00531831">
      <w:pPr>
        <w:pStyle w:val="ListParagraph"/>
        <w:numPr>
          <w:ilvl w:val="0"/>
          <w:numId w:val="173"/>
        </w:numPr>
        <w:ind w:left="567" w:hanging="567"/>
        <w:jc w:val="both"/>
        <w:rPr>
          <w:rFonts w:cs="Arial"/>
        </w:rPr>
      </w:pPr>
      <w:r w:rsidRPr="00E9767D">
        <w:rPr>
          <w:bCs/>
        </w:rPr>
        <w:t>Extensive consultation will also be required with tenants and leaseholders as part of the service reviews where increases in fees and charges are proposed. A summary of the HRA position is provided below which includes estimated balances on the revenue and additional transformation reserve which has been set up to support improvements in the HRA.</w:t>
      </w:r>
    </w:p>
    <w:p w:rsidR="00024DD4" w:rsidRPr="00531831" w:rsidRDefault="00024DD4" w:rsidP="00531831">
      <w:pPr>
        <w:pStyle w:val="ListParagraph"/>
        <w:rPr>
          <w:rFonts w:cs="Arial"/>
        </w:rPr>
      </w:pPr>
    </w:p>
    <w:p w:rsidR="004D3EA8" w:rsidRDefault="004D3EA8" w:rsidP="0094250E">
      <w:pPr>
        <w:rPr>
          <w:rFonts w:cs="Arial"/>
        </w:rPr>
      </w:pPr>
    </w:p>
    <w:p w:rsidR="00DC3A87" w:rsidRPr="00E9767D" w:rsidRDefault="00731954" w:rsidP="0094250E">
      <w:pPr>
        <w:rPr>
          <w:rFonts w:cs="Arial"/>
          <w:b/>
          <w:u w:val="single"/>
        </w:rPr>
      </w:pPr>
      <w:r w:rsidRPr="00E9767D">
        <w:rPr>
          <w:rFonts w:cs="Arial"/>
        </w:rPr>
        <w:t xml:space="preserve">        </w:t>
      </w:r>
      <w:r w:rsidR="00BB2D12" w:rsidRPr="00E9767D">
        <w:rPr>
          <w:rFonts w:cs="Arial"/>
          <w:b/>
          <w:u w:val="single"/>
        </w:rPr>
        <w:t>Table</w:t>
      </w:r>
      <w:r w:rsidR="00AC39ED">
        <w:rPr>
          <w:rFonts w:cs="Arial"/>
          <w:b/>
          <w:u w:val="single"/>
        </w:rPr>
        <w:t xml:space="preserve"> 5</w:t>
      </w:r>
      <w:r w:rsidRPr="00E9767D">
        <w:rPr>
          <w:rFonts w:cs="Arial"/>
          <w:b/>
          <w:u w:val="single"/>
        </w:rPr>
        <w:t>: Housing Revenue Account Variance</w:t>
      </w:r>
    </w:p>
    <w:tbl>
      <w:tblPr>
        <w:tblW w:w="5528" w:type="dxa"/>
        <w:tblInd w:w="675" w:type="dxa"/>
        <w:tblLook w:val="04A0" w:firstRow="1" w:lastRow="0" w:firstColumn="1" w:lastColumn="0" w:noHBand="0" w:noVBand="1"/>
      </w:tblPr>
      <w:tblGrid>
        <w:gridCol w:w="2268"/>
        <w:gridCol w:w="992"/>
        <w:gridCol w:w="1134"/>
        <w:gridCol w:w="1134"/>
      </w:tblGrid>
      <w:tr w:rsidR="00A86A7F" w:rsidRPr="00E9767D" w:rsidTr="00A86A7F">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7F" w:rsidRPr="00E9767D" w:rsidRDefault="00A86A7F" w:rsidP="00DC3A87">
            <w:pPr>
              <w:rPr>
                <w:rFonts w:cs="Arial"/>
                <w:b/>
                <w:bCs/>
                <w:color w:val="000000"/>
                <w:sz w:val="22"/>
                <w:szCs w:val="22"/>
                <w:lang w:eastAsia="en-GB"/>
              </w:rPr>
            </w:pPr>
            <w:r w:rsidRPr="00E9767D">
              <w:rPr>
                <w:rFonts w:cs="Arial"/>
                <w:b/>
                <w:bCs/>
                <w:color w:val="000000"/>
                <w:sz w:val="22"/>
                <w:szCs w:val="22"/>
                <w:lang w:eastAsia="en-GB"/>
              </w:rPr>
              <w:t xml:space="preserve">HRA revenue balances </w:t>
            </w:r>
          </w:p>
          <w:p w:rsidR="00A86A7F" w:rsidRPr="00E9767D" w:rsidRDefault="00A86A7F" w:rsidP="00DC3A87">
            <w:pPr>
              <w:rPr>
                <w:rFonts w:cs="Arial"/>
                <w:b/>
                <w:bCs/>
                <w:color w:val="000000"/>
                <w:sz w:val="22"/>
                <w:szCs w:val="22"/>
                <w:lang w:eastAsia="en-GB"/>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6A7F" w:rsidRPr="00E9767D" w:rsidRDefault="00A86A7F" w:rsidP="00DC3A87">
            <w:pPr>
              <w:jc w:val="right"/>
              <w:rPr>
                <w:rFonts w:cs="Arial"/>
                <w:b/>
                <w:bCs/>
                <w:color w:val="000000"/>
                <w:sz w:val="22"/>
                <w:szCs w:val="22"/>
                <w:lang w:eastAsia="en-GB"/>
              </w:rPr>
            </w:pPr>
            <w:r w:rsidRPr="00E9767D">
              <w:rPr>
                <w:rFonts w:cs="Arial"/>
                <w:b/>
                <w:bCs/>
                <w:color w:val="000000"/>
                <w:sz w:val="22"/>
                <w:szCs w:val="22"/>
                <w:lang w:eastAsia="en-GB"/>
              </w:rPr>
              <w:t>Budget</w:t>
            </w:r>
          </w:p>
          <w:p w:rsidR="00A86A7F" w:rsidRPr="00E9767D" w:rsidRDefault="00A86A7F" w:rsidP="00DC3A87">
            <w:pPr>
              <w:jc w:val="right"/>
              <w:rPr>
                <w:rFonts w:cs="Arial"/>
                <w:b/>
                <w:bCs/>
                <w:color w:val="000000"/>
                <w:sz w:val="22"/>
                <w:szCs w:val="22"/>
                <w:lang w:eastAsia="en-GB"/>
              </w:rPr>
            </w:pPr>
          </w:p>
          <w:p w:rsidR="00A86A7F" w:rsidRPr="00E9767D" w:rsidRDefault="00A86A7F" w:rsidP="0094250E">
            <w:pPr>
              <w:jc w:val="center"/>
              <w:rPr>
                <w:rFonts w:cs="Arial"/>
                <w:b/>
                <w:bCs/>
                <w:color w:val="000000"/>
                <w:sz w:val="22"/>
                <w:szCs w:val="22"/>
                <w:lang w:eastAsia="en-GB"/>
              </w:rPr>
            </w:pPr>
            <w:r w:rsidRPr="00E9767D">
              <w:rPr>
                <w:rFonts w:cs="Arial"/>
                <w:b/>
                <w:bCs/>
                <w:color w:val="000000"/>
                <w:sz w:val="22"/>
                <w:szCs w:val="22"/>
                <w:lang w:eastAsia="en-GB"/>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A7F" w:rsidRPr="00E9767D" w:rsidRDefault="00A86A7F" w:rsidP="00DC3A87">
            <w:pPr>
              <w:jc w:val="right"/>
              <w:rPr>
                <w:rFonts w:cs="Arial"/>
                <w:b/>
                <w:bCs/>
                <w:color w:val="000000"/>
                <w:sz w:val="22"/>
                <w:szCs w:val="22"/>
                <w:lang w:eastAsia="en-GB"/>
              </w:rPr>
            </w:pPr>
            <w:r w:rsidRPr="00E9767D">
              <w:rPr>
                <w:rFonts w:cs="Arial"/>
                <w:b/>
                <w:bCs/>
                <w:color w:val="000000"/>
                <w:sz w:val="22"/>
                <w:szCs w:val="22"/>
                <w:lang w:eastAsia="en-GB"/>
              </w:rPr>
              <w:t>Forecast outturn</w:t>
            </w:r>
          </w:p>
          <w:p w:rsidR="00A86A7F" w:rsidRPr="00E9767D" w:rsidRDefault="00A86A7F" w:rsidP="0094250E">
            <w:pPr>
              <w:jc w:val="center"/>
              <w:rPr>
                <w:rFonts w:cs="Arial"/>
                <w:b/>
                <w:bCs/>
                <w:color w:val="000000"/>
                <w:sz w:val="22"/>
                <w:szCs w:val="22"/>
                <w:lang w:eastAsia="en-GB"/>
              </w:rPr>
            </w:pPr>
            <w:r w:rsidRPr="00E9767D">
              <w:rPr>
                <w:rFonts w:cs="Arial"/>
                <w:b/>
                <w:bCs/>
                <w:color w:val="000000"/>
                <w:sz w:val="22"/>
                <w:szCs w:val="22"/>
                <w:lang w:eastAsia="en-GB"/>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A7F" w:rsidRPr="00E9767D" w:rsidRDefault="00A86A7F" w:rsidP="00DC3A87">
            <w:pPr>
              <w:jc w:val="right"/>
              <w:rPr>
                <w:rFonts w:cs="Arial"/>
                <w:b/>
                <w:bCs/>
                <w:color w:val="000000"/>
                <w:sz w:val="22"/>
                <w:szCs w:val="22"/>
                <w:lang w:eastAsia="en-GB"/>
              </w:rPr>
            </w:pPr>
            <w:r w:rsidRPr="00E9767D">
              <w:rPr>
                <w:rFonts w:cs="Arial"/>
                <w:b/>
                <w:bCs/>
                <w:color w:val="000000"/>
                <w:sz w:val="22"/>
                <w:szCs w:val="22"/>
                <w:lang w:eastAsia="en-GB"/>
              </w:rPr>
              <w:t>Variance</w:t>
            </w:r>
          </w:p>
          <w:p w:rsidR="00A86A7F" w:rsidRPr="00E9767D" w:rsidRDefault="00A86A7F" w:rsidP="0094250E">
            <w:pPr>
              <w:jc w:val="center"/>
              <w:rPr>
                <w:rFonts w:cs="Arial"/>
                <w:b/>
                <w:bCs/>
                <w:color w:val="000000"/>
                <w:sz w:val="22"/>
                <w:szCs w:val="22"/>
                <w:lang w:eastAsia="en-GB"/>
              </w:rPr>
            </w:pPr>
          </w:p>
          <w:p w:rsidR="00A86A7F" w:rsidRPr="00E9767D" w:rsidRDefault="00A86A7F" w:rsidP="0094250E">
            <w:pPr>
              <w:jc w:val="center"/>
              <w:rPr>
                <w:rFonts w:cs="Arial"/>
                <w:b/>
                <w:bCs/>
                <w:color w:val="000000"/>
                <w:sz w:val="22"/>
                <w:szCs w:val="22"/>
                <w:lang w:eastAsia="en-GB"/>
              </w:rPr>
            </w:pPr>
            <w:r w:rsidRPr="00E9767D">
              <w:rPr>
                <w:rFonts w:cs="Arial"/>
                <w:b/>
                <w:bCs/>
                <w:color w:val="000000"/>
                <w:sz w:val="22"/>
                <w:szCs w:val="22"/>
                <w:lang w:eastAsia="en-GB"/>
              </w:rPr>
              <w:t>£’000</w:t>
            </w:r>
          </w:p>
        </w:tc>
      </w:tr>
      <w:tr w:rsidR="00A86A7F" w:rsidRPr="00E9767D" w:rsidTr="00A86A7F">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A7F" w:rsidRPr="00E9767D" w:rsidRDefault="00A86A7F" w:rsidP="00DC3A87">
            <w:pPr>
              <w:rPr>
                <w:rFonts w:cs="Arial"/>
                <w:color w:val="000000"/>
                <w:sz w:val="22"/>
                <w:szCs w:val="22"/>
                <w:lang w:eastAsia="en-GB"/>
              </w:rPr>
            </w:pPr>
            <w:r w:rsidRPr="00E9767D">
              <w:rPr>
                <w:rFonts w:cs="Arial"/>
                <w:color w:val="000000"/>
                <w:sz w:val="22"/>
                <w:szCs w:val="22"/>
                <w:lang w:eastAsia="en-GB"/>
              </w:rPr>
              <w:t>Balance b/</w:t>
            </w:r>
            <w:proofErr w:type="spellStart"/>
            <w:r w:rsidRPr="00E9767D">
              <w:rPr>
                <w:rFonts w:cs="Arial"/>
                <w:color w:val="000000"/>
                <w:sz w:val="22"/>
                <w:szCs w:val="22"/>
                <w:lang w:eastAsia="en-GB"/>
              </w:rPr>
              <w:t>fwd</w:t>
            </w:r>
            <w:proofErr w:type="spellEnd"/>
            <w:r w:rsidRPr="00E9767D">
              <w:rPr>
                <w:rFonts w:cs="Arial"/>
                <w:color w:val="000000"/>
                <w:sz w:val="22"/>
                <w:szCs w:val="22"/>
                <w:lang w:eastAsia="en-GB"/>
              </w:rPr>
              <w:t>, pre-audit</w:t>
            </w:r>
          </w:p>
        </w:tc>
        <w:tc>
          <w:tcPr>
            <w:tcW w:w="992" w:type="dxa"/>
            <w:tcBorders>
              <w:top w:val="nil"/>
              <w:left w:val="nil"/>
              <w:bottom w:val="single" w:sz="4" w:space="0" w:color="auto"/>
              <w:right w:val="single" w:sz="4" w:space="0" w:color="auto"/>
            </w:tcBorders>
            <w:shd w:val="clear" w:color="auto" w:fill="auto"/>
            <w:vAlign w:val="center"/>
            <w:hideMark/>
          </w:tcPr>
          <w:p w:rsidR="00A86A7F" w:rsidRPr="00E9767D" w:rsidRDefault="00A86A7F" w:rsidP="00DC3A87">
            <w:pPr>
              <w:spacing w:after="200" w:line="276" w:lineRule="auto"/>
              <w:jc w:val="right"/>
              <w:rPr>
                <w:rFonts w:eastAsia="Calibri" w:cs="Arial"/>
                <w:color w:val="000000"/>
                <w:sz w:val="22"/>
                <w:szCs w:val="22"/>
              </w:rPr>
            </w:pPr>
            <w:r w:rsidRPr="00E9767D">
              <w:rPr>
                <w:rFonts w:eastAsia="Calibri" w:cs="Arial"/>
                <w:color w:val="000000"/>
                <w:sz w:val="22"/>
                <w:szCs w:val="22"/>
              </w:rPr>
              <w:t>-7,531</w:t>
            </w:r>
          </w:p>
        </w:tc>
        <w:tc>
          <w:tcPr>
            <w:tcW w:w="1134" w:type="dxa"/>
            <w:tcBorders>
              <w:top w:val="nil"/>
              <w:left w:val="nil"/>
              <w:bottom w:val="single" w:sz="4" w:space="0" w:color="auto"/>
              <w:right w:val="single" w:sz="4" w:space="0" w:color="auto"/>
            </w:tcBorders>
            <w:shd w:val="clear" w:color="auto" w:fill="auto"/>
            <w:vAlign w:val="center"/>
            <w:hideMark/>
          </w:tcPr>
          <w:p w:rsidR="00A86A7F" w:rsidRPr="00E9767D" w:rsidRDefault="00A86A7F" w:rsidP="00DC3A87">
            <w:pPr>
              <w:spacing w:after="200" w:line="276" w:lineRule="auto"/>
              <w:jc w:val="right"/>
              <w:rPr>
                <w:rFonts w:eastAsia="Calibri" w:cs="Arial"/>
                <w:color w:val="000000"/>
                <w:sz w:val="22"/>
                <w:szCs w:val="22"/>
              </w:rPr>
            </w:pPr>
            <w:r w:rsidRPr="00E9767D">
              <w:rPr>
                <w:rFonts w:eastAsia="Calibri" w:cs="Arial"/>
                <w:color w:val="000000"/>
                <w:sz w:val="22"/>
                <w:szCs w:val="22"/>
              </w:rPr>
              <w:t>-7,474</w:t>
            </w:r>
          </w:p>
        </w:tc>
        <w:tc>
          <w:tcPr>
            <w:tcW w:w="1134" w:type="dxa"/>
            <w:tcBorders>
              <w:top w:val="nil"/>
              <w:left w:val="nil"/>
              <w:bottom w:val="single" w:sz="4" w:space="0" w:color="auto"/>
              <w:right w:val="single" w:sz="4" w:space="0" w:color="auto"/>
            </w:tcBorders>
            <w:shd w:val="clear" w:color="000000" w:fill="FFFFFF"/>
            <w:vAlign w:val="center"/>
            <w:hideMark/>
          </w:tcPr>
          <w:p w:rsidR="00A86A7F" w:rsidRPr="00E9767D" w:rsidRDefault="00A86A7F" w:rsidP="00DC3A87">
            <w:pPr>
              <w:spacing w:after="200" w:line="276" w:lineRule="auto"/>
              <w:jc w:val="right"/>
              <w:rPr>
                <w:rFonts w:eastAsia="Calibri" w:cs="Arial"/>
                <w:color w:val="000000"/>
                <w:sz w:val="22"/>
                <w:szCs w:val="22"/>
              </w:rPr>
            </w:pPr>
            <w:r w:rsidRPr="00E9767D">
              <w:rPr>
                <w:rFonts w:eastAsia="Calibri" w:cs="Arial"/>
                <w:color w:val="000000"/>
                <w:sz w:val="22"/>
                <w:szCs w:val="22"/>
              </w:rPr>
              <w:t>57</w:t>
            </w:r>
          </w:p>
        </w:tc>
      </w:tr>
      <w:tr w:rsidR="00A86A7F" w:rsidRPr="00E9767D" w:rsidTr="00A86A7F">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A7F" w:rsidRPr="00E9767D" w:rsidRDefault="00A86A7F" w:rsidP="00DC3A87">
            <w:pPr>
              <w:rPr>
                <w:rFonts w:cs="Arial"/>
                <w:color w:val="000000"/>
                <w:sz w:val="22"/>
                <w:szCs w:val="22"/>
                <w:lang w:eastAsia="en-GB"/>
              </w:rPr>
            </w:pPr>
            <w:r w:rsidRPr="00E9767D">
              <w:rPr>
                <w:rFonts w:cs="Arial"/>
                <w:color w:val="000000"/>
                <w:sz w:val="22"/>
                <w:szCs w:val="22"/>
                <w:lang w:eastAsia="en-GB"/>
              </w:rPr>
              <w:t>Net (surplus) deficit</w:t>
            </w:r>
          </w:p>
        </w:tc>
        <w:tc>
          <w:tcPr>
            <w:tcW w:w="992" w:type="dxa"/>
            <w:tcBorders>
              <w:top w:val="nil"/>
              <w:left w:val="nil"/>
              <w:bottom w:val="single" w:sz="4" w:space="0" w:color="auto"/>
              <w:right w:val="single" w:sz="4" w:space="0" w:color="auto"/>
            </w:tcBorders>
            <w:shd w:val="clear" w:color="auto" w:fill="auto"/>
            <w:vAlign w:val="center"/>
            <w:hideMark/>
          </w:tcPr>
          <w:p w:rsidR="00A86A7F" w:rsidRPr="00E9767D" w:rsidRDefault="00A86A7F" w:rsidP="00DC3A87">
            <w:pPr>
              <w:spacing w:after="200" w:line="276" w:lineRule="auto"/>
              <w:jc w:val="right"/>
              <w:rPr>
                <w:rFonts w:eastAsia="Calibri" w:cs="Arial"/>
                <w:color w:val="000000"/>
                <w:sz w:val="22"/>
                <w:szCs w:val="22"/>
              </w:rPr>
            </w:pPr>
            <w:r w:rsidRPr="00E9767D">
              <w:rPr>
                <w:rFonts w:eastAsia="Calibri" w:cs="Arial"/>
                <w:color w:val="000000"/>
                <w:sz w:val="22"/>
                <w:szCs w:val="22"/>
              </w:rPr>
              <w:t>1,099</w:t>
            </w:r>
          </w:p>
        </w:tc>
        <w:tc>
          <w:tcPr>
            <w:tcW w:w="1134" w:type="dxa"/>
            <w:tcBorders>
              <w:top w:val="nil"/>
              <w:left w:val="nil"/>
              <w:bottom w:val="single" w:sz="4" w:space="0" w:color="auto"/>
              <w:right w:val="single" w:sz="4" w:space="0" w:color="auto"/>
            </w:tcBorders>
            <w:shd w:val="clear" w:color="000000" w:fill="FFFFFF"/>
            <w:vAlign w:val="center"/>
            <w:hideMark/>
          </w:tcPr>
          <w:p w:rsidR="00A86A7F" w:rsidRPr="00E9767D" w:rsidRDefault="00642B4C">
            <w:pPr>
              <w:spacing w:after="200" w:line="276" w:lineRule="auto"/>
              <w:jc w:val="right"/>
              <w:rPr>
                <w:rFonts w:eastAsia="Calibri" w:cs="Arial"/>
                <w:color w:val="000000"/>
                <w:sz w:val="22"/>
                <w:szCs w:val="22"/>
              </w:rPr>
            </w:pPr>
            <w:r>
              <w:rPr>
                <w:rFonts w:eastAsia="Calibri" w:cs="Arial"/>
                <w:color w:val="000000"/>
                <w:sz w:val="22"/>
                <w:szCs w:val="22"/>
              </w:rPr>
              <w:t>919</w:t>
            </w:r>
          </w:p>
        </w:tc>
        <w:tc>
          <w:tcPr>
            <w:tcW w:w="1134" w:type="dxa"/>
            <w:tcBorders>
              <w:top w:val="nil"/>
              <w:left w:val="nil"/>
              <w:bottom w:val="single" w:sz="4" w:space="0" w:color="auto"/>
              <w:right w:val="single" w:sz="4" w:space="0" w:color="auto"/>
            </w:tcBorders>
            <w:shd w:val="clear" w:color="000000" w:fill="FFFFFF"/>
            <w:vAlign w:val="center"/>
            <w:hideMark/>
          </w:tcPr>
          <w:p w:rsidR="00A86A7F" w:rsidRPr="00E9767D" w:rsidRDefault="00642B4C">
            <w:pPr>
              <w:spacing w:after="200" w:line="276" w:lineRule="auto"/>
              <w:jc w:val="right"/>
              <w:rPr>
                <w:rFonts w:eastAsia="Calibri" w:cs="Arial"/>
                <w:color w:val="000000"/>
                <w:sz w:val="22"/>
                <w:szCs w:val="22"/>
              </w:rPr>
            </w:pPr>
            <w:r>
              <w:rPr>
                <w:rFonts w:eastAsia="Calibri" w:cs="Arial"/>
                <w:color w:val="000000"/>
                <w:sz w:val="22"/>
                <w:szCs w:val="22"/>
              </w:rPr>
              <w:t>-180</w:t>
            </w:r>
          </w:p>
        </w:tc>
      </w:tr>
      <w:tr w:rsidR="00A86A7F" w:rsidRPr="00DC3A87" w:rsidTr="008C337C">
        <w:trPr>
          <w:trHeight w:val="6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A7F" w:rsidRPr="00E9767D" w:rsidRDefault="00A86A7F" w:rsidP="00DC3A87">
            <w:pPr>
              <w:rPr>
                <w:rFonts w:cs="Arial"/>
                <w:color w:val="000000"/>
                <w:sz w:val="22"/>
                <w:szCs w:val="22"/>
                <w:lang w:eastAsia="en-GB"/>
              </w:rPr>
            </w:pPr>
            <w:r w:rsidRPr="00E9767D">
              <w:rPr>
                <w:rFonts w:cs="Arial"/>
                <w:color w:val="000000"/>
                <w:sz w:val="22"/>
                <w:szCs w:val="22"/>
                <w:lang w:eastAsia="en-GB"/>
              </w:rPr>
              <w:t>Balance c/</w:t>
            </w:r>
            <w:proofErr w:type="spellStart"/>
            <w:r w:rsidRPr="00E9767D">
              <w:rPr>
                <w:rFonts w:cs="Arial"/>
                <w:color w:val="000000"/>
                <w:sz w:val="22"/>
                <w:szCs w:val="22"/>
                <w:lang w:eastAsia="en-GB"/>
              </w:rPr>
              <w:t>fwd</w:t>
            </w:r>
            <w:proofErr w:type="spellEnd"/>
            <w:r w:rsidRPr="00E9767D">
              <w:rPr>
                <w:rFonts w:cs="Arial"/>
                <w:color w:val="000000"/>
                <w:sz w:val="22"/>
                <w:szCs w:val="22"/>
                <w:lang w:eastAsia="en-GB"/>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86A7F" w:rsidRPr="00E9767D" w:rsidRDefault="00A86A7F" w:rsidP="00DC3A87">
            <w:pPr>
              <w:spacing w:after="200" w:line="276" w:lineRule="auto"/>
              <w:jc w:val="right"/>
              <w:rPr>
                <w:rFonts w:eastAsia="Calibri" w:cs="Arial"/>
                <w:color w:val="000000"/>
                <w:sz w:val="22"/>
                <w:szCs w:val="22"/>
              </w:rPr>
            </w:pPr>
            <w:r w:rsidRPr="00E9767D">
              <w:rPr>
                <w:rFonts w:eastAsia="Calibri" w:cs="Arial"/>
                <w:color w:val="000000"/>
                <w:sz w:val="22"/>
                <w:szCs w:val="22"/>
              </w:rPr>
              <w:t>-6,432</w:t>
            </w:r>
          </w:p>
        </w:tc>
        <w:tc>
          <w:tcPr>
            <w:tcW w:w="1134" w:type="dxa"/>
            <w:tcBorders>
              <w:top w:val="nil"/>
              <w:left w:val="nil"/>
              <w:bottom w:val="single" w:sz="4" w:space="0" w:color="auto"/>
              <w:right w:val="single" w:sz="4" w:space="0" w:color="auto"/>
            </w:tcBorders>
            <w:shd w:val="clear" w:color="000000" w:fill="FFFFFF"/>
            <w:vAlign w:val="center"/>
            <w:hideMark/>
          </w:tcPr>
          <w:p w:rsidR="00A86A7F" w:rsidRPr="00E9767D" w:rsidRDefault="00A86A7F" w:rsidP="00DC3A87">
            <w:pPr>
              <w:spacing w:after="200" w:line="276" w:lineRule="auto"/>
              <w:jc w:val="right"/>
              <w:rPr>
                <w:rFonts w:eastAsia="Calibri" w:cs="Arial"/>
                <w:color w:val="000000"/>
                <w:sz w:val="22"/>
                <w:szCs w:val="22"/>
              </w:rPr>
            </w:pPr>
            <w:r w:rsidRPr="00E9767D">
              <w:rPr>
                <w:rFonts w:eastAsia="Calibri" w:cs="Arial"/>
                <w:color w:val="000000"/>
                <w:sz w:val="22"/>
                <w:szCs w:val="22"/>
              </w:rPr>
              <w:t>-6,</w:t>
            </w:r>
            <w:r w:rsidR="00642B4C">
              <w:rPr>
                <w:rFonts w:eastAsia="Calibri" w:cs="Arial"/>
                <w:color w:val="000000"/>
                <w:sz w:val="22"/>
                <w:szCs w:val="22"/>
              </w:rPr>
              <w:t>555</w:t>
            </w:r>
          </w:p>
        </w:tc>
        <w:tc>
          <w:tcPr>
            <w:tcW w:w="1134" w:type="dxa"/>
            <w:tcBorders>
              <w:top w:val="nil"/>
              <w:left w:val="nil"/>
              <w:bottom w:val="single" w:sz="4" w:space="0" w:color="auto"/>
              <w:right w:val="single" w:sz="4" w:space="0" w:color="auto"/>
            </w:tcBorders>
            <w:shd w:val="clear" w:color="000000" w:fill="FFFFFF"/>
            <w:vAlign w:val="center"/>
            <w:hideMark/>
          </w:tcPr>
          <w:p w:rsidR="00A86A7F" w:rsidRPr="00DC3A87" w:rsidRDefault="00642B4C">
            <w:pPr>
              <w:spacing w:after="200" w:line="276" w:lineRule="auto"/>
              <w:jc w:val="right"/>
              <w:rPr>
                <w:rFonts w:eastAsia="Calibri" w:cs="Arial"/>
                <w:color w:val="000000"/>
                <w:sz w:val="22"/>
                <w:szCs w:val="22"/>
              </w:rPr>
            </w:pPr>
            <w:r>
              <w:rPr>
                <w:rFonts w:eastAsia="Calibri" w:cs="Arial"/>
                <w:color w:val="000000"/>
                <w:sz w:val="22"/>
                <w:szCs w:val="22"/>
              </w:rPr>
              <w:t>-123</w:t>
            </w:r>
          </w:p>
        </w:tc>
      </w:tr>
    </w:tbl>
    <w:p w:rsidR="00DC3A87" w:rsidRDefault="00DC3A87" w:rsidP="0094250E">
      <w:pPr>
        <w:pStyle w:val="ListParagraph"/>
        <w:ind w:left="567"/>
        <w:jc w:val="both"/>
        <w:rPr>
          <w:rFonts w:cs="Arial"/>
        </w:rPr>
      </w:pPr>
    </w:p>
    <w:p w:rsidR="00007076" w:rsidRDefault="00007076" w:rsidP="0094250E">
      <w:pPr>
        <w:pStyle w:val="ListParagraph"/>
        <w:ind w:left="567"/>
        <w:jc w:val="both"/>
        <w:rPr>
          <w:rFonts w:cs="Arial"/>
        </w:rPr>
      </w:pPr>
    </w:p>
    <w:p w:rsidR="00581225" w:rsidRPr="008C337C" w:rsidRDefault="00581225" w:rsidP="00581225">
      <w:pPr>
        <w:pStyle w:val="ListParagraph"/>
        <w:ind w:left="567"/>
        <w:rPr>
          <w:rFonts w:cs="Arial"/>
          <w:b/>
          <w:u w:val="single"/>
        </w:rPr>
      </w:pPr>
      <w:r w:rsidRPr="008C337C">
        <w:rPr>
          <w:rFonts w:cs="Arial"/>
          <w:b/>
          <w:u w:val="single"/>
        </w:rPr>
        <w:t xml:space="preserve">CONTINGENCIES AND </w:t>
      </w:r>
      <w:r w:rsidR="005A118E" w:rsidRPr="008C337C">
        <w:rPr>
          <w:rFonts w:cs="Arial"/>
          <w:b/>
          <w:u w:val="single"/>
        </w:rPr>
        <w:t>R</w:t>
      </w:r>
      <w:r w:rsidRPr="008C337C">
        <w:rPr>
          <w:rFonts w:cs="Arial"/>
          <w:b/>
          <w:u w:val="single"/>
        </w:rPr>
        <w:t>ESERVES</w:t>
      </w:r>
    </w:p>
    <w:p w:rsidR="00581225" w:rsidRDefault="00581225" w:rsidP="0094250E">
      <w:pPr>
        <w:pStyle w:val="ListParagraph"/>
        <w:ind w:left="567"/>
        <w:jc w:val="both"/>
        <w:rPr>
          <w:rFonts w:cs="Arial"/>
        </w:rPr>
      </w:pPr>
    </w:p>
    <w:p w:rsidR="00581225" w:rsidRPr="000C5533" w:rsidRDefault="00581225" w:rsidP="00531831">
      <w:pPr>
        <w:pStyle w:val="ListParagraph"/>
        <w:numPr>
          <w:ilvl w:val="0"/>
          <w:numId w:val="173"/>
        </w:numPr>
        <w:ind w:left="567" w:hanging="567"/>
        <w:jc w:val="both"/>
        <w:rPr>
          <w:rFonts w:cs="Arial"/>
        </w:rPr>
      </w:pPr>
      <w:r w:rsidRPr="004B04B9">
        <w:rPr>
          <w:rFonts w:cs="Arial"/>
          <w:bCs/>
        </w:rPr>
        <w:t xml:space="preserve">The contingencies exist to cover unavoidable pressures together with other unforeseen items and spending </w:t>
      </w:r>
      <w:r w:rsidRPr="004F7C02">
        <w:rPr>
          <w:rFonts w:cs="Arial"/>
          <w:bCs/>
        </w:rPr>
        <w:t>pressures and to cover areas such as</w:t>
      </w:r>
      <w:bookmarkStart w:id="0" w:name="LastEdit"/>
      <w:bookmarkEnd w:id="0"/>
      <w:r w:rsidRPr="004F7C02">
        <w:rPr>
          <w:rFonts w:cs="Arial"/>
          <w:bCs/>
        </w:rPr>
        <w:t xml:space="preserve"> risk, health and safety, equality </w:t>
      </w:r>
      <w:r w:rsidR="00983643" w:rsidRPr="004F7C02">
        <w:rPr>
          <w:rFonts w:cs="Arial"/>
          <w:bCs/>
        </w:rPr>
        <w:t>impacts and</w:t>
      </w:r>
      <w:r w:rsidRPr="004F7C02">
        <w:rPr>
          <w:rFonts w:cs="Arial"/>
          <w:bCs/>
        </w:rPr>
        <w:t xml:space="preserve"> uncertainty.</w:t>
      </w:r>
      <w:r w:rsidR="00AC7DC6" w:rsidRPr="004F7C02">
        <w:rPr>
          <w:rFonts w:cs="Arial"/>
          <w:bCs/>
        </w:rPr>
        <w:t xml:space="preserve"> </w:t>
      </w:r>
      <w:r w:rsidR="00A50A0E">
        <w:rPr>
          <w:rFonts w:cs="Arial"/>
          <w:bCs/>
        </w:rPr>
        <w:t xml:space="preserve">There have been no calls on the central contingency </w:t>
      </w:r>
      <w:r w:rsidR="001335F4">
        <w:rPr>
          <w:rFonts w:cs="Arial"/>
          <w:bCs/>
        </w:rPr>
        <w:t xml:space="preserve">for the unforeseen items </w:t>
      </w:r>
      <w:r w:rsidR="00A50A0E">
        <w:rPr>
          <w:rFonts w:cs="Arial"/>
          <w:bCs/>
        </w:rPr>
        <w:t>as at 30</w:t>
      </w:r>
      <w:r w:rsidR="00A50A0E" w:rsidRPr="008C337C">
        <w:rPr>
          <w:rFonts w:cs="Arial"/>
          <w:bCs/>
          <w:vertAlign w:val="superscript"/>
        </w:rPr>
        <w:t>th</w:t>
      </w:r>
      <w:r w:rsidR="00A50A0E">
        <w:rPr>
          <w:rFonts w:cs="Arial"/>
          <w:bCs/>
        </w:rPr>
        <w:t xml:space="preserve"> September and the forecast assumes no further calls for the remainder of the year</w:t>
      </w:r>
      <w:r w:rsidR="00353E06">
        <w:rPr>
          <w:rFonts w:cs="Arial"/>
          <w:bCs/>
        </w:rPr>
        <w:t>, resulting in a £1.248m underspend.  Should there be any need to use the contingency then this underspend will be reduced accordingly.</w:t>
      </w:r>
    </w:p>
    <w:p w:rsidR="009B6608" w:rsidRPr="0004757A" w:rsidRDefault="009B6608" w:rsidP="008C337C">
      <w:pPr>
        <w:pStyle w:val="ListParagraph"/>
        <w:ind w:left="567"/>
        <w:jc w:val="both"/>
        <w:rPr>
          <w:rFonts w:cs="Arial"/>
        </w:rPr>
      </w:pPr>
    </w:p>
    <w:p w:rsidR="009B6608" w:rsidRPr="004F7C02" w:rsidRDefault="001F7015" w:rsidP="00531831">
      <w:pPr>
        <w:pStyle w:val="ListParagraph"/>
        <w:numPr>
          <w:ilvl w:val="0"/>
          <w:numId w:val="173"/>
        </w:numPr>
        <w:ind w:left="567" w:hanging="567"/>
        <w:jc w:val="both"/>
        <w:rPr>
          <w:rFonts w:cs="Arial"/>
        </w:rPr>
      </w:pPr>
      <w:r>
        <w:rPr>
          <w:rFonts w:cs="Arial"/>
          <w:bCs/>
        </w:rPr>
        <w:t>In Q</w:t>
      </w:r>
      <w:r w:rsidR="009B6608">
        <w:rPr>
          <w:rFonts w:cs="Arial"/>
          <w:bCs/>
        </w:rPr>
        <w:t>uarter 2</w:t>
      </w:r>
      <w:r w:rsidR="00353E06">
        <w:rPr>
          <w:rFonts w:cs="Arial"/>
          <w:bCs/>
        </w:rPr>
        <w:t xml:space="preserve">, there is a </w:t>
      </w:r>
      <w:r w:rsidR="009B6608">
        <w:rPr>
          <w:rFonts w:cs="Arial"/>
          <w:bCs/>
        </w:rPr>
        <w:t xml:space="preserve">planned </w:t>
      </w:r>
      <w:r w:rsidR="00353E06">
        <w:rPr>
          <w:rFonts w:cs="Arial"/>
          <w:bCs/>
        </w:rPr>
        <w:t xml:space="preserve">corporate forecast underspend </w:t>
      </w:r>
      <w:r w:rsidR="009B6608" w:rsidRPr="009B6608">
        <w:rPr>
          <w:rFonts w:cs="Arial"/>
          <w:bCs/>
        </w:rPr>
        <w:t>of (£</w:t>
      </w:r>
      <w:r w:rsidR="008B1B58">
        <w:rPr>
          <w:rFonts w:cs="Arial"/>
          <w:bCs/>
        </w:rPr>
        <w:t>2.294</w:t>
      </w:r>
      <w:r w:rsidR="009B6608" w:rsidRPr="009B6608">
        <w:rPr>
          <w:rFonts w:cs="Arial"/>
          <w:bCs/>
        </w:rPr>
        <w:t>m)</w:t>
      </w:r>
      <w:r w:rsidR="009B6608">
        <w:rPr>
          <w:rFonts w:cs="Arial"/>
          <w:bCs/>
        </w:rPr>
        <w:t xml:space="preserve"> relating to</w:t>
      </w:r>
      <w:r w:rsidR="001335F4">
        <w:rPr>
          <w:rFonts w:cs="Arial"/>
          <w:bCs/>
        </w:rPr>
        <w:t xml:space="preserve"> unallocated</w:t>
      </w:r>
      <w:r w:rsidR="009B6608">
        <w:rPr>
          <w:rFonts w:cs="Arial"/>
          <w:bCs/>
        </w:rPr>
        <w:t xml:space="preserve"> inflation and savings on borrowing</w:t>
      </w:r>
      <w:r w:rsidR="009B6608" w:rsidRPr="009B6608">
        <w:rPr>
          <w:rFonts w:cs="Arial"/>
          <w:bCs/>
        </w:rPr>
        <w:t xml:space="preserve">. </w:t>
      </w:r>
      <w:r w:rsidR="00353E06">
        <w:rPr>
          <w:rFonts w:cs="Arial"/>
          <w:bCs/>
        </w:rPr>
        <w:t xml:space="preserve">This and the £1.2m underspend on the contingency are contributing to the net overall </w:t>
      </w:r>
      <w:r w:rsidR="009B6608" w:rsidRPr="009B6608">
        <w:rPr>
          <w:rFonts w:cs="Arial"/>
          <w:bCs/>
        </w:rPr>
        <w:t xml:space="preserve">£2.2m </w:t>
      </w:r>
      <w:r w:rsidR="00353E06">
        <w:rPr>
          <w:rFonts w:cs="Arial"/>
          <w:bCs/>
        </w:rPr>
        <w:t xml:space="preserve">underspend which will </w:t>
      </w:r>
      <w:r w:rsidR="009B6608">
        <w:rPr>
          <w:rFonts w:cs="Arial"/>
          <w:bCs/>
        </w:rPr>
        <w:t xml:space="preserve">be used </w:t>
      </w:r>
      <w:r w:rsidR="00353E06">
        <w:rPr>
          <w:rFonts w:cs="Arial"/>
          <w:bCs/>
        </w:rPr>
        <w:t xml:space="preserve">as a contribution to the </w:t>
      </w:r>
      <w:r w:rsidR="009B6608" w:rsidRPr="009B6608">
        <w:rPr>
          <w:rFonts w:cs="Arial"/>
          <w:bCs/>
        </w:rPr>
        <w:t>2019/20 budget gap</w:t>
      </w:r>
      <w:r w:rsidR="009B6608">
        <w:rPr>
          <w:rFonts w:cs="Arial"/>
          <w:bCs/>
        </w:rPr>
        <w:t>.</w:t>
      </w:r>
    </w:p>
    <w:p w:rsidR="00FA6508" w:rsidRPr="004F7C02" w:rsidRDefault="00FA6508" w:rsidP="004F7C02">
      <w:pPr>
        <w:pStyle w:val="ListParagraph"/>
        <w:ind w:left="567"/>
        <w:jc w:val="both"/>
        <w:rPr>
          <w:rFonts w:cs="Arial"/>
        </w:rPr>
      </w:pPr>
    </w:p>
    <w:p w:rsidR="00A837DE" w:rsidRPr="00F80678" w:rsidRDefault="00581225" w:rsidP="00531831">
      <w:pPr>
        <w:pStyle w:val="ListParagraph"/>
        <w:numPr>
          <w:ilvl w:val="0"/>
          <w:numId w:val="173"/>
        </w:numPr>
        <w:ind w:left="567" w:hanging="567"/>
        <w:jc w:val="both"/>
        <w:rPr>
          <w:rFonts w:cs="Arial"/>
        </w:rPr>
      </w:pPr>
      <w:r w:rsidRPr="00F80678">
        <w:rPr>
          <w:rFonts w:cs="Arial"/>
          <w:bCs/>
        </w:rPr>
        <w:t>There are also a number of earmarked reserves for a variety of purposes</w:t>
      </w:r>
      <w:r w:rsidR="00415F0F" w:rsidRPr="00F80678">
        <w:rPr>
          <w:rFonts w:cs="Arial"/>
          <w:bCs/>
        </w:rPr>
        <w:t xml:space="preserve"> and the main ones highlighted</w:t>
      </w:r>
      <w:r w:rsidRPr="00F80678">
        <w:rPr>
          <w:rFonts w:cs="Arial"/>
          <w:bCs/>
        </w:rPr>
        <w:t xml:space="preserve"> in table </w:t>
      </w:r>
      <w:r w:rsidR="00AC39ED" w:rsidRPr="00F80678">
        <w:rPr>
          <w:rFonts w:cs="Arial"/>
          <w:bCs/>
        </w:rPr>
        <w:t>6</w:t>
      </w:r>
      <w:r w:rsidRPr="00F80678">
        <w:rPr>
          <w:rFonts w:cs="Arial"/>
          <w:bCs/>
        </w:rPr>
        <w:t xml:space="preserve"> below</w:t>
      </w:r>
      <w:r w:rsidR="00731954" w:rsidRPr="00F80678">
        <w:rPr>
          <w:rFonts w:cs="Arial"/>
          <w:bCs/>
        </w:rPr>
        <w:t>:</w:t>
      </w:r>
    </w:p>
    <w:p w:rsidR="004F7C02" w:rsidRDefault="004F7C02" w:rsidP="0094250E">
      <w:pPr>
        <w:rPr>
          <w:rFonts w:cs="Arial"/>
          <w:b/>
          <w:u w:val="single"/>
        </w:rPr>
      </w:pPr>
    </w:p>
    <w:p w:rsidR="00983643" w:rsidRPr="0094250E" w:rsidRDefault="00731954" w:rsidP="0094250E">
      <w:pPr>
        <w:rPr>
          <w:rFonts w:cs="Arial"/>
          <w:b/>
          <w:u w:val="single"/>
        </w:rPr>
      </w:pPr>
      <w:r>
        <w:rPr>
          <w:rFonts w:cs="Arial"/>
          <w:b/>
          <w:u w:val="single"/>
        </w:rPr>
        <w:t xml:space="preserve">Table </w:t>
      </w:r>
      <w:r w:rsidR="00AC39ED">
        <w:rPr>
          <w:rFonts w:cs="Arial"/>
          <w:b/>
          <w:u w:val="single"/>
        </w:rPr>
        <w:t>6</w:t>
      </w:r>
      <w:r>
        <w:rPr>
          <w:rFonts w:cs="Arial"/>
          <w:b/>
          <w:u w:val="single"/>
        </w:rPr>
        <w:t>:</w:t>
      </w:r>
      <w:r w:rsidR="00983643" w:rsidRPr="0094250E">
        <w:rPr>
          <w:rFonts w:cs="Arial"/>
          <w:b/>
          <w:u w:val="single"/>
        </w:rPr>
        <w:t xml:space="preserve"> Earmarked Reserves</w:t>
      </w:r>
    </w:p>
    <w:p w:rsidR="007B12C5" w:rsidRDefault="00955E10" w:rsidP="008C337C">
      <w:pPr>
        <w:rPr>
          <w:noProof/>
          <w:lang w:eastAsia="en-GB"/>
        </w:rPr>
      </w:pPr>
      <w:r w:rsidRPr="00955E10">
        <w:rPr>
          <w:noProof/>
          <w:lang w:eastAsia="en-GB"/>
        </w:rPr>
        <w:drawing>
          <wp:inline distT="0" distB="0" distL="0" distR="0" wp14:anchorId="0A625624" wp14:editId="798F5B6C">
            <wp:extent cx="5713730" cy="29641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730" cy="2964180"/>
                    </a:xfrm>
                    <a:prstGeom prst="rect">
                      <a:avLst/>
                    </a:prstGeom>
                    <a:noFill/>
                    <a:ln>
                      <a:noFill/>
                    </a:ln>
                  </pic:spPr>
                </pic:pic>
              </a:graphicData>
            </a:graphic>
          </wp:inline>
        </w:drawing>
      </w:r>
    </w:p>
    <w:p w:rsidR="006B113D" w:rsidRDefault="00FE2F3D" w:rsidP="00BC03D5">
      <w:pPr>
        <w:rPr>
          <w:rFonts w:cs="Arial"/>
          <w:b/>
        </w:rPr>
      </w:pPr>
      <w:r w:rsidRPr="009679F6" w:rsidDel="00FE2F3D">
        <w:rPr>
          <w:noProof/>
          <w:lang w:eastAsia="en-GB"/>
        </w:rPr>
        <w:t xml:space="preserve"> </w:t>
      </w:r>
    </w:p>
    <w:p w:rsidR="00EE0B17" w:rsidRDefault="00EE0B17" w:rsidP="00BC03D5">
      <w:pPr>
        <w:rPr>
          <w:rFonts w:cs="Arial"/>
          <w:b/>
        </w:rPr>
      </w:pPr>
      <w:r w:rsidRPr="00856529">
        <w:rPr>
          <w:rFonts w:cs="Arial"/>
          <w:b/>
        </w:rPr>
        <w:t xml:space="preserve">SPENDING CONTROL </w:t>
      </w:r>
    </w:p>
    <w:p w:rsidR="00EE0B17" w:rsidRPr="00856529" w:rsidRDefault="00EE0B17" w:rsidP="00EE0B17">
      <w:pPr>
        <w:pStyle w:val="ListParagraph"/>
        <w:ind w:left="567"/>
        <w:jc w:val="both"/>
        <w:rPr>
          <w:rFonts w:cs="Arial"/>
          <w:b/>
        </w:rPr>
      </w:pPr>
    </w:p>
    <w:p w:rsidR="00EE0B17" w:rsidRPr="00856529" w:rsidRDefault="00EE0B17" w:rsidP="00531831">
      <w:pPr>
        <w:pStyle w:val="ListParagraph"/>
        <w:numPr>
          <w:ilvl w:val="0"/>
          <w:numId w:val="173"/>
        </w:numPr>
        <w:tabs>
          <w:tab w:val="left" w:pos="567"/>
        </w:tabs>
        <w:ind w:left="567" w:hanging="567"/>
        <w:jc w:val="both"/>
        <w:rPr>
          <w:rFonts w:cs="Arial"/>
        </w:rPr>
      </w:pPr>
      <w:r>
        <w:rPr>
          <w:rFonts w:cs="Arial"/>
          <w:bCs/>
        </w:rPr>
        <w:t xml:space="preserve">The </w:t>
      </w:r>
      <w:r w:rsidR="009B6608">
        <w:rPr>
          <w:rFonts w:cs="Arial"/>
          <w:bCs/>
        </w:rPr>
        <w:t xml:space="preserve">under </w:t>
      </w:r>
      <w:r w:rsidR="00F70EFE">
        <w:rPr>
          <w:rFonts w:cs="Arial"/>
          <w:bCs/>
        </w:rPr>
        <w:t>s</w:t>
      </w:r>
      <w:r>
        <w:rPr>
          <w:rFonts w:cs="Arial"/>
          <w:bCs/>
        </w:rPr>
        <w:t xml:space="preserve">pend position of </w:t>
      </w:r>
      <w:r w:rsidR="009B6608">
        <w:rPr>
          <w:rFonts w:cs="Arial"/>
          <w:bCs/>
        </w:rPr>
        <w:t>(</w:t>
      </w:r>
      <w:r>
        <w:rPr>
          <w:rFonts w:cs="Arial"/>
          <w:bCs/>
        </w:rPr>
        <w:t>£</w:t>
      </w:r>
      <w:r w:rsidR="001335F4">
        <w:rPr>
          <w:rFonts w:cs="Arial"/>
          <w:bCs/>
        </w:rPr>
        <w:t>2.2m</w:t>
      </w:r>
      <w:r w:rsidR="009B6608">
        <w:rPr>
          <w:rFonts w:cs="Arial"/>
          <w:bCs/>
        </w:rPr>
        <w:t>)</w:t>
      </w:r>
      <w:r>
        <w:rPr>
          <w:rFonts w:cs="Arial"/>
          <w:bCs/>
        </w:rPr>
        <w:t xml:space="preserve"> in </w:t>
      </w:r>
      <w:r w:rsidR="0065297C">
        <w:rPr>
          <w:rFonts w:cs="Arial"/>
          <w:bCs/>
        </w:rPr>
        <w:t>Quarter</w:t>
      </w:r>
      <w:r>
        <w:rPr>
          <w:rFonts w:cs="Arial"/>
          <w:bCs/>
        </w:rPr>
        <w:t xml:space="preserve"> </w:t>
      </w:r>
      <w:r w:rsidR="00334626">
        <w:rPr>
          <w:rFonts w:cs="Arial"/>
          <w:bCs/>
        </w:rPr>
        <w:t>2</w:t>
      </w:r>
      <w:r>
        <w:rPr>
          <w:rFonts w:cs="Arial"/>
          <w:bCs/>
        </w:rPr>
        <w:t xml:space="preserve"> </w:t>
      </w:r>
      <w:r w:rsidR="00F70EFE">
        <w:rPr>
          <w:rFonts w:cs="Arial"/>
          <w:bCs/>
        </w:rPr>
        <w:t>includes</w:t>
      </w:r>
      <w:r>
        <w:rPr>
          <w:rFonts w:cs="Arial"/>
          <w:bCs/>
        </w:rPr>
        <w:t xml:space="preserve"> a one-off contribution to </w:t>
      </w:r>
      <w:r w:rsidRPr="00DB5522">
        <w:rPr>
          <w:rFonts w:cs="Arial"/>
          <w:bCs/>
        </w:rPr>
        <w:t>spending control</w:t>
      </w:r>
      <w:r>
        <w:rPr>
          <w:rFonts w:cs="Arial"/>
          <w:bCs/>
        </w:rPr>
        <w:t>s across the d</w:t>
      </w:r>
      <w:r w:rsidRPr="00DB5522">
        <w:rPr>
          <w:rFonts w:cs="Arial"/>
          <w:bCs/>
        </w:rPr>
        <w:t>irectorates</w:t>
      </w:r>
      <w:r>
        <w:rPr>
          <w:rFonts w:cs="Arial"/>
          <w:bCs/>
        </w:rPr>
        <w:t xml:space="preserve"> of £1.1m.</w:t>
      </w:r>
    </w:p>
    <w:p w:rsidR="00EE0B17" w:rsidRPr="00856529" w:rsidRDefault="00EE0B17" w:rsidP="00EE0B17">
      <w:pPr>
        <w:pStyle w:val="ListParagraph"/>
        <w:ind w:left="567"/>
        <w:jc w:val="both"/>
        <w:rPr>
          <w:rFonts w:cs="Arial"/>
        </w:rPr>
      </w:pPr>
    </w:p>
    <w:p w:rsidR="00EE0B17" w:rsidRPr="009E69CE" w:rsidRDefault="00EE0B17" w:rsidP="00531831">
      <w:pPr>
        <w:pStyle w:val="ListParagraph"/>
        <w:numPr>
          <w:ilvl w:val="0"/>
          <w:numId w:val="173"/>
        </w:numPr>
        <w:ind w:left="567" w:hanging="567"/>
        <w:jc w:val="both"/>
        <w:rPr>
          <w:rFonts w:cs="Arial"/>
        </w:rPr>
      </w:pPr>
      <w:r w:rsidRPr="00DB5522">
        <w:rPr>
          <w:rFonts w:cs="Arial"/>
          <w:bCs/>
        </w:rPr>
        <w:t xml:space="preserve">Table </w:t>
      </w:r>
      <w:r w:rsidR="00AC39ED">
        <w:rPr>
          <w:rFonts w:cs="Arial"/>
          <w:bCs/>
        </w:rPr>
        <w:t>7</w:t>
      </w:r>
      <w:r w:rsidRPr="00DB5522">
        <w:rPr>
          <w:rFonts w:cs="Arial"/>
          <w:bCs/>
        </w:rPr>
        <w:t xml:space="preserve"> below shows the breakdown of </w:t>
      </w:r>
      <w:r>
        <w:rPr>
          <w:rFonts w:cs="Arial"/>
          <w:bCs/>
        </w:rPr>
        <w:t>the £1.1</w:t>
      </w:r>
      <w:r w:rsidRPr="00DB5522">
        <w:rPr>
          <w:rFonts w:cs="Arial"/>
          <w:bCs/>
        </w:rPr>
        <w:t>m by directorate</w:t>
      </w:r>
      <w:r>
        <w:rPr>
          <w:rFonts w:cs="Arial"/>
          <w:bCs/>
        </w:rPr>
        <w:t>.</w:t>
      </w:r>
    </w:p>
    <w:p w:rsidR="00E7778C" w:rsidRDefault="00E7778C" w:rsidP="008C337C">
      <w:pPr>
        <w:ind w:firstLine="567"/>
        <w:rPr>
          <w:rFonts w:cs="Arial"/>
          <w:b/>
          <w:u w:val="single"/>
        </w:rPr>
      </w:pPr>
    </w:p>
    <w:p w:rsidR="00811F8F" w:rsidRPr="008C337C" w:rsidRDefault="00811F8F" w:rsidP="008C337C">
      <w:pPr>
        <w:ind w:firstLine="567"/>
        <w:rPr>
          <w:rFonts w:cs="Arial"/>
          <w:b/>
          <w:u w:val="single"/>
        </w:rPr>
      </w:pPr>
      <w:r w:rsidRPr="008C337C">
        <w:rPr>
          <w:rFonts w:cs="Arial"/>
          <w:b/>
          <w:u w:val="single"/>
        </w:rPr>
        <w:t>Table 7: Contribution to Spending Control</w:t>
      </w:r>
    </w:p>
    <w:p w:rsidR="00811F8F" w:rsidRDefault="00811F8F" w:rsidP="008C337C">
      <w:pPr>
        <w:pStyle w:val="ListParagraph"/>
        <w:ind w:left="567"/>
        <w:jc w:val="both"/>
        <w:rPr>
          <w:rFonts w:cs="Arial"/>
        </w:rPr>
      </w:pPr>
      <w:r>
        <w:rPr>
          <w:rFonts w:cs="Arial"/>
          <w:noProof/>
          <w:lang w:eastAsia="en-GB"/>
        </w:rPr>
        <w:drawing>
          <wp:inline distT="0" distB="0" distL="0" distR="0" wp14:anchorId="0BB32EDB" wp14:editId="74193B55">
            <wp:extent cx="5443441" cy="2692722"/>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617" cy="2695283"/>
                    </a:xfrm>
                    <a:prstGeom prst="rect">
                      <a:avLst/>
                    </a:prstGeom>
                    <a:noFill/>
                  </pic:spPr>
                </pic:pic>
              </a:graphicData>
            </a:graphic>
          </wp:inline>
        </w:drawing>
      </w:r>
    </w:p>
    <w:p w:rsidR="00811F8F" w:rsidRPr="009E69CE" w:rsidRDefault="00811F8F" w:rsidP="008C337C">
      <w:pPr>
        <w:pStyle w:val="ListParagraph"/>
        <w:rPr>
          <w:rFonts w:cs="Arial"/>
        </w:rPr>
      </w:pPr>
    </w:p>
    <w:p w:rsidR="00811F8F" w:rsidRPr="00974E77" w:rsidRDefault="00811F8F" w:rsidP="00531831">
      <w:pPr>
        <w:pStyle w:val="ListParagraph"/>
        <w:numPr>
          <w:ilvl w:val="0"/>
          <w:numId w:val="173"/>
        </w:numPr>
        <w:ind w:left="567" w:hanging="567"/>
        <w:jc w:val="both"/>
        <w:rPr>
          <w:rFonts w:cs="Arial"/>
        </w:rPr>
      </w:pPr>
      <w:r w:rsidRPr="008C337C">
        <w:rPr>
          <w:rFonts w:cs="Arial"/>
          <w:b/>
          <w:bCs/>
        </w:rPr>
        <w:t>One-Off Income</w:t>
      </w:r>
      <w:r w:rsidRPr="00974E77">
        <w:rPr>
          <w:rFonts w:cs="Arial"/>
          <w:b/>
          <w:bCs/>
        </w:rPr>
        <w:t xml:space="preserve"> - </w:t>
      </w:r>
      <w:r w:rsidR="00F70EFE">
        <w:rPr>
          <w:rFonts w:cs="Arial"/>
          <w:bCs/>
        </w:rPr>
        <w:t xml:space="preserve">The council has also </w:t>
      </w:r>
      <w:r w:rsidR="00EF6129">
        <w:rPr>
          <w:rFonts w:cs="Arial"/>
          <w:bCs/>
        </w:rPr>
        <w:t xml:space="preserve">received </w:t>
      </w:r>
      <w:r w:rsidR="00EF6129" w:rsidRPr="00974E77">
        <w:rPr>
          <w:rFonts w:cs="Arial"/>
          <w:bCs/>
        </w:rPr>
        <w:t>one</w:t>
      </w:r>
      <w:r w:rsidRPr="00974E77">
        <w:rPr>
          <w:rFonts w:cs="Arial"/>
          <w:bCs/>
        </w:rPr>
        <w:t xml:space="preserve"> off income of (£0.532m) after budget setting in February</w:t>
      </w:r>
      <w:r w:rsidR="001335F4">
        <w:rPr>
          <w:rFonts w:cs="Arial"/>
          <w:bCs/>
        </w:rPr>
        <w:t xml:space="preserve"> which is also contributing to the forecast underspend.</w:t>
      </w:r>
    </w:p>
    <w:p w:rsidR="009F0788" w:rsidRDefault="009F0788" w:rsidP="008C337C">
      <w:pPr>
        <w:ind w:firstLine="567"/>
        <w:jc w:val="both"/>
        <w:rPr>
          <w:b/>
        </w:rPr>
      </w:pPr>
    </w:p>
    <w:p w:rsidR="006E5436" w:rsidRDefault="006E5436" w:rsidP="008C337C">
      <w:pPr>
        <w:ind w:firstLine="567"/>
        <w:jc w:val="both"/>
      </w:pPr>
      <w:r w:rsidRPr="008C337C">
        <w:rPr>
          <w:b/>
        </w:rPr>
        <w:t>National Non Domestic Rates (NNDR)</w:t>
      </w:r>
    </w:p>
    <w:p w:rsidR="006E5436" w:rsidRPr="004713BE" w:rsidRDefault="006E5436" w:rsidP="00A54D8E">
      <w:pPr>
        <w:pStyle w:val="ListParagraph"/>
        <w:jc w:val="both"/>
        <w:rPr>
          <w:rFonts w:cs="Arial"/>
        </w:rPr>
      </w:pPr>
    </w:p>
    <w:p w:rsidR="006E5436" w:rsidRDefault="006E5436" w:rsidP="00531831">
      <w:pPr>
        <w:pStyle w:val="ListParagraph"/>
        <w:numPr>
          <w:ilvl w:val="0"/>
          <w:numId w:val="173"/>
        </w:numPr>
        <w:ind w:left="567" w:hanging="567"/>
        <w:jc w:val="both"/>
        <w:rPr>
          <w:rFonts w:cs="Arial"/>
        </w:rPr>
      </w:pPr>
      <w:r w:rsidRPr="0040252D">
        <w:rPr>
          <w:rFonts w:cs="Arial"/>
        </w:rPr>
        <w:t>As a first step towards 100% Business rates retention Harrow joined the 100% business rates retention pilot proposal for 2018/19 covering all London Boroughs.  Harrow will receive a</w:t>
      </w:r>
      <w:r w:rsidR="004713BE" w:rsidRPr="0040252D">
        <w:rPr>
          <w:rFonts w:cs="Arial"/>
        </w:rPr>
        <w:t> proportion</w:t>
      </w:r>
      <w:r w:rsidRPr="0040252D">
        <w:rPr>
          <w:rFonts w:cs="Arial"/>
        </w:rPr>
        <w:t xml:space="preserve"> of the collective growth in London arising from the pool and the no detriment clause agreed by central Government guaran</w:t>
      </w:r>
      <w:r w:rsidR="004713BE" w:rsidRPr="0040252D">
        <w:rPr>
          <w:rFonts w:cs="Arial"/>
        </w:rPr>
        <w:t>tees that no Council could be</w:t>
      </w:r>
      <w:r w:rsidRPr="0040252D">
        <w:rPr>
          <w:rFonts w:cs="Arial"/>
        </w:rPr>
        <w:t xml:space="preserve"> worse off than it would have been had the pilot not been put in place. </w:t>
      </w:r>
      <w:r w:rsidR="002B27F2" w:rsidRPr="0040252D">
        <w:rPr>
          <w:rFonts w:cs="Arial"/>
        </w:rPr>
        <w:t>Currently</w:t>
      </w:r>
      <w:r w:rsidR="00862B4E">
        <w:rPr>
          <w:rFonts w:cs="Arial"/>
        </w:rPr>
        <w:t>, t</w:t>
      </w:r>
      <w:r w:rsidR="001335F4">
        <w:rPr>
          <w:rFonts w:cs="Arial"/>
        </w:rPr>
        <w:t>he no detriment clause is in place for the first year only and discussions are ongoing to ex</w:t>
      </w:r>
      <w:r w:rsidR="00024DD4">
        <w:rPr>
          <w:rFonts w:cs="Arial"/>
        </w:rPr>
        <w:t>tend</w:t>
      </w:r>
      <w:r w:rsidR="001335F4">
        <w:rPr>
          <w:rFonts w:cs="Arial"/>
        </w:rPr>
        <w:t xml:space="preserve"> the London Pilot Pool for a second year in 2019/20.</w:t>
      </w:r>
      <w:r w:rsidRPr="0040252D">
        <w:rPr>
          <w:rFonts w:cs="Arial"/>
        </w:rPr>
        <w:t xml:space="preserve">  </w:t>
      </w:r>
    </w:p>
    <w:p w:rsidR="00334626" w:rsidRPr="0040252D" w:rsidRDefault="00334626" w:rsidP="008C337C">
      <w:pPr>
        <w:pStyle w:val="ListParagraph"/>
        <w:ind w:left="567"/>
        <w:jc w:val="both"/>
        <w:rPr>
          <w:rFonts w:cs="Arial"/>
        </w:rPr>
      </w:pPr>
    </w:p>
    <w:p w:rsidR="00C31F1C" w:rsidRDefault="006E5436" w:rsidP="00531831">
      <w:pPr>
        <w:pStyle w:val="ListParagraph"/>
        <w:numPr>
          <w:ilvl w:val="0"/>
          <w:numId w:val="173"/>
        </w:numPr>
        <w:ind w:left="567" w:hanging="567"/>
        <w:jc w:val="both"/>
        <w:rPr>
          <w:rFonts w:cs="Arial"/>
        </w:rPr>
      </w:pPr>
      <w:r w:rsidRPr="004D1B4F">
        <w:rPr>
          <w:rFonts w:cs="Arial"/>
        </w:rPr>
        <w:t xml:space="preserve">At the time of preparing the 2018/19 budget, no indicative figures were available for potential growth from the pilot pool therefore, as a prudent </w:t>
      </w:r>
      <w:r w:rsidR="002B27F2" w:rsidRPr="004D1B4F">
        <w:rPr>
          <w:rFonts w:cs="Arial"/>
        </w:rPr>
        <w:t>measure</w:t>
      </w:r>
      <w:r w:rsidR="001335F4" w:rsidRPr="004D1B4F">
        <w:rPr>
          <w:rFonts w:cs="Arial"/>
        </w:rPr>
        <w:t>,</w:t>
      </w:r>
      <w:r w:rsidRPr="004D1B4F">
        <w:rPr>
          <w:rFonts w:cs="Arial"/>
        </w:rPr>
        <w:t xml:space="preserve"> no benefit was built into the final budget.  Early indications are that Harrow could benefit from an estima</w:t>
      </w:r>
      <w:r w:rsidR="002B27F2" w:rsidRPr="004D1B4F">
        <w:rPr>
          <w:rFonts w:cs="Arial"/>
        </w:rPr>
        <w:t>ted £3</w:t>
      </w:r>
      <w:r w:rsidR="00C31F1C" w:rsidRPr="004D1B4F">
        <w:rPr>
          <w:rFonts w:cs="Arial"/>
        </w:rPr>
        <w:t>.5</w:t>
      </w:r>
      <w:r w:rsidR="002B27F2" w:rsidRPr="004D1B4F">
        <w:rPr>
          <w:rFonts w:cs="Arial"/>
        </w:rPr>
        <w:t>m of one off income in </w:t>
      </w:r>
      <w:r w:rsidRPr="004D1B4F">
        <w:rPr>
          <w:rFonts w:cs="Arial"/>
        </w:rPr>
        <w:t>2018/19</w:t>
      </w:r>
      <w:r w:rsidR="001335F4" w:rsidRPr="004D1B4F">
        <w:rPr>
          <w:rFonts w:cs="Arial"/>
        </w:rPr>
        <w:t xml:space="preserve"> which will be applied in the 2019/20 budget.</w:t>
      </w:r>
      <w:r w:rsidRPr="004D1B4F">
        <w:rPr>
          <w:rFonts w:cs="Arial"/>
        </w:rPr>
        <w:t xml:space="preserve"> </w:t>
      </w:r>
    </w:p>
    <w:p w:rsidR="00CE6501" w:rsidRPr="00494A18" w:rsidRDefault="00CE6501" w:rsidP="00531831">
      <w:pPr>
        <w:pStyle w:val="ListParagraph"/>
        <w:rPr>
          <w:rFonts w:cs="Arial"/>
        </w:rPr>
      </w:pPr>
    </w:p>
    <w:p w:rsidR="00CE6501" w:rsidRPr="004D1B4F" w:rsidRDefault="00CE6501" w:rsidP="00531831">
      <w:pPr>
        <w:pStyle w:val="ListParagraph"/>
        <w:numPr>
          <w:ilvl w:val="0"/>
          <w:numId w:val="173"/>
        </w:numPr>
        <w:ind w:left="567" w:hanging="567"/>
        <w:jc w:val="both"/>
        <w:rPr>
          <w:rFonts w:cs="Arial"/>
        </w:rPr>
      </w:pPr>
      <w:r>
        <w:rPr>
          <w:rFonts w:cs="Arial"/>
        </w:rPr>
        <w:t>A</w:t>
      </w:r>
      <w:r w:rsidRPr="00CE6501">
        <w:rPr>
          <w:rFonts w:cs="Arial"/>
        </w:rPr>
        <w:t xml:space="preserve">dditional one off income </w:t>
      </w:r>
      <w:r>
        <w:rPr>
          <w:rFonts w:cs="Arial"/>
        </w:rPr>
        <w:t>of £0.</w:t>
      </w:r>
      <w:r w:rsidR="004B7215">
        <w:rPr>
          <w:rFonts w:cs="Arial"/>
        </w:rPr>
        <w:t>779</w:t>
      </w:r>
      <w:r>
        <w:rPr>
          <w:rFonts w:cs="Arial"/>
        </w:rPr>
        <w:t xml:space="preserve">m </w:t>
      </w:r>
      <w:r w:rsidRPr="00CE6501">
        <w:rPr>
          <w:rFonts w:cs="Arial"/>
        </w:rPr>
        <w:t xml:space="preserve">in the form of section 31 grant funding </w:t>
      </w:r>
      <w:r>
        <w:rPr>
          <w:rFonts w:cs="Arial"/>
        </w:rPr>
        <w:t xml:space="preserve">has also been allocated to Harrow in 2018/19 which will be applied in the </w:t>
      </w:r>
      <w:r w:rsidRPr="00CE6501">
        <w:rPr>
          <w:rFonts w:cs="Arial"/>
        </w:rPr>
        <w:t>2019/20</w:t>
      </w:r>
      <w:r>
        <w:rPr>
          <w:rFonts w:cs="Arial"/>
        </w:rPr>
        <w:t xml:space="preserve"> budget.</w:t>
      </w:r>
    </w:p>
    <w:p w:rsidR="0065297C" w:rsidRDefault="0065297C" w:rsidP="00BC03D5">
      <w:pPr>
        <w:jc w:val="both"/>
        <w:rPr>
          <w:rFonts w:cs="Arial"/>
        </w:rPr>
      </w:pPr>
    </w:p>
    <w:p w:rsidR="00642B4C" w:rsidRPr="00970D67" w:rsidRDefault="00642B4C" w:rsidP="00BC03D5">
      <w:pPr>
        <w:pStyle w:val="ListParagraph"/>
        <w:rPr>
          <w:rFonts w:cs="Arial"/>
        </w:rPr>
      </w:pPr>
    </w:p>
    <w:p w:rsidR="00970D67" w:rsidRPr="00AC39ED" w:rsidRDefault="00970D67" w:rsidP="00970D67">
      <w:pPr>
        <w:pStyle w:val="ListParagraph"/>
        <w:ind w:left="567"/>
        <w:rPr>
          <w:rFonts w:cs="Arial"/>
          <w:b/>
          <w:bCs/>
          <w:u w:val="single"/>
        </w:rPr>
      </w:pPr>
      <w:r w:rsidRPr="00AC39ED">
        <w:rPr>
          <w:rFonts w:cs="Arial"/>
          <w:b/>
          <w:bCs/>
          <w:u w:val="single"/>
        </w:rPr>
        <w:t>MTFS IMPLEMENTATION TRACKER</w:t>
      </w:r>
    </w:p>
    <w:p w:rsidR="00970D67" w:rsidRPr="00AC39ED" w:rsidRDefault="00970D67" w:rsidP="00BC03D5">
      <w:pPr>
        <w:pStyle w:val="ListParagraph"/>
        <w:ind w:left="567"/>
        <w:jc w:val="both"/>
        <w:rPr>
          <w:rFonts w:cs="Arial"/>
        </w:rPr>
      </w:pPr>
    </w:p>
    <w:p w:rsidR="00273D7B" w:rsidRPr="00AC39ED" w:rsidRDefault="00321BA3" w:rsidP="00531831">
      <w:pPr>
        <w:pStyle w:val="ListParagraph"/>
        <w:numPr>
          <w:ilvl w:val="0"/>
          <w:numId w:val="173"/>
        </w:numPr>
        <w:ind w:left="567" w:hanging="567"/>
        <w:jc w:val="both"/>
        <w:rPr>
          <w:rFonts w:cs="Arial"/>
        </w:rPr>
      </w:pPr>
      <w:r w:rsidRPr="00AC39ED">
        <w:rPr>
          <w:rFonts w:cs="Arial"/>
          <w:bCs/>
        </w:rPr>
        <w:t xml:space="preserve">The 2018/19 budget includes </w:t>
      </w:r>
      <w:r w:rsidR="006A3C8C" w:rsidRPr="00AC39ED">
        <w:rPr>
          <w:rFonts w:cs="Arial"/>
          <w:bCs/>
        </w:rPr>
        <w:t>approved MTFS savings of £</w:t>
      </w:r>
      <w:r w:rsidR="003B095F" w:rsidRPr="00AC39ED">
        <w:rPr>
          <w:rFonts w:cs="Arial"/>
          <w:bCs/>
        </w:rPr>
        <w:t>8.</w:t>
      </w:r>
      <w:r w:rsidR="00FC623F">
        <w:rPr>
          <w:rFonts w:cs="Arial"/>
          <w:bCs/>
        </w:rPr>
        <w:t>801</w:t>
      </w:r>
      <w:r w:rsidRPr="00AC39ED">
        <w:rPr>
          <w:rFonts w:cs="Arial"/>
          <w:bCs/>
        </w:rPr>
        <w:t>m</w:t>
      </w:r>
      <w:r w:rsidR="00273D7B" w:rsidRPr="00AC39ED">
        <w:rPr>
          <w:rFonts w:cs="Arial"/>
          <w:bCs/>
        </w:rPr>
        <w:t>.</w:t>
      </w:r>
    </w:p>
    <w:p w:rsidR="00273D7B" w:rsidRPr="00AC39ED" w:rsidRDefault="00273D7B" w:rsidP="00BC03D5">
      <w:pPr>
        <w:pStyle w:val="ListParagraph"/>
        <w:ind w:left="567"/>
        <w:jc w:val="both"/>
        <w:rPr>
          <w:rFonts w:cs="Arial"/>
        </w:rPr>
      </w:pPr>
    </w:p>
    <w:p w:rsidR="00273D7B" w:rsidRPr="00273D7B" w:rsidRDefault="00273D7B" w:rsidP="00531831">
      <w:pPr>
        <w:pStyle w:val="ListParagraph"/>
        <w:numPr>
          <w:ilvl w:val="0"/>
          <w:numId w:val="173"/>
        </w:numPr>
        <w:ind w:left="567" w:hanging="567"/>
        <w:jc w:val="both"/>
        <w:rPr>
          <w:rFonts w:cs="Arial"/>
        </w:rPr>
      </w:pPr>
      <w:r w:rsidRPr="00AC39ED">
        <w:rPr>
          <w:rFonts w:cs="Arial"/>
          <w:bCs/>
        </w:rPr>
        <w:t xml:space="preserve">Appendix </w:t>
      </w:r>
      <w:r w:rsidR="00F80678">
        <w:rPr>
          <w:rFonts w:cs="Arial"/>
          <w:bCs/>
        </w:rPr>
        <w:t>3</w:t>
      </w:r>
      <w:r w:rsidRPr="00AC39ED">
        <w:rPr>
          <w:rFonts w:cs="Arial"/>
          <w:bCs/>
        </w:rPr>
        <w:t xml:space="preserve"> shows a list of the individual red, amber, green and blue rated savings in the MTFS.  The definitions used to classify savings rating in this report are detailed in table</w:t>
      </w:r>
      <w:r w:rsidR="00AC39ED" w:rsidRPr="00AC39ED">
        <w:rPr>
          <w:rFonts w:cs="Arial"/>
          <w:bCs/>
        </w:rPr>
        <w:t xml:space="preserve"> 8</w:t>
      </w:r>
      <w:r w:rsidRPr="00AC39ED">
        <w:rPr>
          <w:rFonts w:cs="Arial"/>
          <w:bCs/>
        </w:rPr>
        <w:t xml:space="preserve"> below</w:t>
      </w:r>
      <w:r>
        <w:rPr>
          <w:rFonts w:cs="Arial"/>
          <w:bCs/>
        </w:rPr>
        <w:t>:</w:t>
      </w:r>
    </w:p>
    <w:p w:rsidR="005A4DF8" w:rsidRDefault="005A4DF8" w:rsidP="00BC03D5">
      <w:pPr>
        <w:pStyle w:val="ListParagraph"/>
        <w:rPr>
          <w:rFonts w:cs="Arial"/>
        </w:rPr>
      </w:pPr>
    </w:p>
    <w:p w:rsidR="009B2455" w:rsidRDefault="009B2455" w:rsidP="00BC03D5">
      <w:pPr>
        <w:pStyle w:val="ListParagraph"/>
        <w:rPr>
          <w:rFonts w:cs="Arial"/>
        </w:rPr>
      </w:pPr>
    </w:p>
    <w:p w:rsidR="00915553" w:rsidRDefault="00915553" w:rsidP="00BC03D5">
      <w:pPr>
        <w:pStyle w:val="ListParagraph"/>
        <w:rPr>
          <w:rFonts w:cs="Arial"/>
        </w:rPr>
      </w:pPr>
    </w:p>
    <w:p w:rsidR="00273D7B" w:rsidRPr="0094250E" w:rsidRDefault="00273D7B" w:rsidP="00273D7B">
      <w:pPr>
        <w:rPr>
          <w:rFonts w:cs="Arial"/>
          <w:b/>
          <w:u w:val="single"/>
        </w:rPr>
      </w:pPr>
      <w:r w:rsidRPr="00BC03D5">
        <w:rPr>
          <w:rFonts w:cs="Arial"/>
          <w:b/>
        </w:rPr>
        <w:t xml:space="preserve">        </w:t>
      </w:r>
      <w:r w:rsidRPr="0094250E">
        <w:rPr>
          <w:rFonts w:cs="Arial"/>
          <w:b/>
          <w:u w:val="single"/>
        </w:rPr>
        <w:t xml:space="preserve">Table </w:t>
      </w:r>
      <w:r w:rsidR="00AC39ED">
        <w:rPr>
          <w:rFonts w:cs="Arial"/>
          <w:b/>
          <w:u w:val="single"/>
        </w:rPr>
        <w:t>8</w:t>
      </w:r>
      <w:r w:rsidRPr="0094250E">
        <w:rPr>
          <w:rFonts w:cs="Arial"/>
          <w:b/>
          <w:u w:val="single"/>
        </w:rPr>
        <w:t>: Savings Definition</w:t>
      </w:r>
    </w:p>
    <w:p w:rsidR="00273D7B" w:rsidRPr="00457C0D" w:rsidRDefault="00273D7B" w:rsidP="00273D7B">
      <w:pPr>
        <w:pStyle w:val="ListParagraph"/>
        <w:ind w:left="567"/>
        <w:jc w:val="both"/>
        <w:rPr>
          <w:rFonts w:cs="Arial"/>
        </w:rPr>
      </w:pPr>
      <w:r w:rsidRPr="00FC2EDE">
        <w:rPr>
          <w:noProof/>
          <w:lang w:eastAsia="en-GB"/>
        </w:rPr>
        <w:drawing>
          <wp:inline distT="0" distB="0" distL="0" distR="0" wp14:anchorId="4CBE1FBF" wp14:editId="34D4D0D5">
            <wp:extent cx="5803900" cy="16999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3393" cy="1702705"/>
                    </a:xfrm>
                    <a:prstGeom prst="rect">
                      <a:avLst/>
                    </a:prstGeom>
                    <a:noFill/>
                    <a:ln>
                      <a:noFill/>
                    </a:ln>
                  </pic:spPr>
                </pic:pic>
              </a:graphicData>
            </a:graphic>
          </wp:inline>
        </w:drawing>
      </w:r>
    </w:p>
    <w:p w:rsidR="00273D7B" w:rsidRPr="00457C0D" w:rsidRDefault="00273D7B" w:rsidP="00273D7B">
      <w:pPr>
        <w:pStyle w:val="ListParagraph"/>
        <w:rPr>
          <w:rFonts w:cs="Arial"/>
        </w:rPr>
      </w:pPr>
    </w:p>
    <w:p w:rsidR="00273D7B" w:rsidRPr="00457C0D" w:rsidRDefault="00273D7B" w:rsidP="00273D7B">
      <w:pPr>
        <w:pStyle w:val="ListParagraph"/>
        <w:ind w:left="567"/>
        <w:jc w:val="both"/>
        <w:rPr>
          <w:rFonts w:cs="Arial"/>
        </w:rPr>
      </w:pPr>
    </w:p>
    <w:p w:rsidR="00273D7B" w:rsidRPr="00370072" w:rsidRDefault="00273D7B" w:rsidP="00531831">
      <w:pPr>
        <w:pStyle w:val="ListParagraph"/>
        <w:numPr>
          <w:ilvl w:val="0"/>
          <w:numId w:val="173"/>
        </w:numPr>
        <w:ind w:left="567" w:hanging="567"/>
        <w:jc w:val="both"/>
        <w:rPr>
          <w:rFonts w:cs="Arial"/>
        </w:rPr>
      </w:pPr>
      <w:r w:rsidRPr="00273D7B">
        <w:rPr>
          <w:rFonts w:cs="Arial"/>
          <w:bCs/>
        </w:rPr>
        <w:t xml:space="preserve">Table </w:t>
      </w:r>
      <w:r w:rsidR="00AC39ED">
        <w:rPr>
          <w:rFonts w:cs="Arial"/>
          <w:bCs/>
        </w:rPr>
        <w:t>9</w:t>
      </w:r>
      <w:r w:rsidRPr="00273D7B">
        <w:rPr>
          <w:rFonts w:cs="Arial"/>
          <w:bCs/>
        </w:rPr>
        <w:t xml:space="preserve"> below shows the summarised position for each directorate</w:t>
      </w:r>
      <w:r>
        <w:rPr>
          <w:rFonts w:cs="Arial"/>
          <w:bCs/>
        </w:rPr>
        <w:t xml:space="preserve"> as at </w:t>
      </w:r>
      <w:r w:rsidR="001F7015">
        <w:rPr>
          <w:rFonts w:cs="Arial"/>
          <w:bCs/>
        </w:rPr>
        <w:t>Q</w:t>
      </w:r>
      <w:r>
        <w:rPr>
          <w:rFonts w:cs="Arial"/>
          <w:bCs/>
        </w:rPr>
        <w:t xml:space="preserve">uarter </w:t>
      </w:r>
      <w:r w:rsidR="00D76D65">
        <w:rPr>
          <w:rFonts w:cs="Arial"/>
          <w:bCs/>
        </w:rPr>
        <w:t>2</w:t>
      </w:r>
      <w:r>
        <w:rPr>
          <w:rFonts w:cs="Arial"/>
          <w:bCs/>
        </w:rPr>
        <w:t>:</w:t>
      </w:r>
    </w:p>
    <w:p w:rsidR="00370072" w:rsidRDefault="00370072" w:rsidP="00BC03D5">
      <w:pPr>
        <w:ind w:left="567"/>
        <w:jc w:val="both"/>
        <w:rPr>
          <w:rFonts w:cs="Arial"/>
        </w:rPr>
      </w:pPr>
    </w:p>
    <w:p w:rsidR="00370072" w:rsidRPr="00370072" w:rsidRDefault="00AC39ED" w:rsidP="008C337C">
      <w:pPr>
        <w:ind w:left="567"/>
        <w:jc w:val="both"/>
        <w:rPr>
          <w:rFonts w:cs="Arial"/>
        </w:rPr>
      </w:pPr>
      <w:r>
        <w:rPr>
          <w:rFonts w:cs="Arial"/>
          <w:b/>
          <w:u w:val="single"/>
        </w:rPr>
        <w:t>Table 9</w:t>
      </w:r>
      <w:r w:rsidR="00370072" w:rsidRPr="00370072">
        <w:rPr>
          <w:rFonts w:cs="Arial"/>
          <w:b/>
          <w:u w:val="single"/>
        </w:rPr>
        <w:t xml:space="preserve">: </w:t>
      </w:r>
      <w:r w:rsidR="00370072">
        <w:rPr>
          <w:rFonts w:cs="Arial"/>
          <w:b/>
          <w:bCs/>
          <w:u w:val="single"/>
        </w:rPr>
        <w:t>Savings Tracker 20</w:t>
      </w:r>
      <w:r w:rsidR="00370072" w:rsidRPr="00370072">
        <w:rPr>
          <w:rFonts w:cs="Arial"/>
          <w:b/>
          <w:bCs/>
          <w:u w:val="single"/>
        </w:rPr>
        <w:t>18</w:t>
      </w:r>
      <w:r w:rsidR="00370072">
        <w:rPr>
          <w:rFonts w:cs="Arial"/>
          <w:b/>
          <w:bCs/>
          <w:u w:val="single"/>
        </w:rPr>
        <w:t>/19</w:t>
      </w:r>
      <w:r w:rsidR="00370072" w:rsidRPr="00370072">
        <w:rPr>
          <w:rFonts w:cs="Arial"/>
          <w:b/>
          <w:bCs/>
          <w:u w:val="single"/>
        </w:rPr>
        <w:t xml:space="preserve"> – Directorate Summary</w:t>
      </w:r>
    </w:p>
    <w:p w:rsidR="00370072" w:rsidRPr="00370072" w:rsidRDefault="009F43C9" w:rsidP="00BC03D5">
      <w:pPr>
        <w:pStyle w:val="ListParagraph"/>
        <w:ind w:left="567"/>
        <w:jc w:val="both"/>
        <w:rPr>
          <w:rFonts w:cs="Arial"/>
        </w:rPr>
      </w:pPr>
      <w:r w:rsidRPr="009F43C9" w:rsidDel="009F43C9">
        <w:t xml:space="preserve"> </w:t>
      </w:r>
      <w:r w:rsidR="00BB6909" w:rsidRPr="00BB6909">
        <w:rPr>
          <w:noProof/>
          <w:lang w:eastAsia="en-GB"/>
        </w:rPr>
        <w:drawing>
          <wp:inline distT="0" distB="0" distL="0" distR="0" wp14:anchorId="635C4B2D" wp14:editId="66BCE858">
            <wp:extent cx="5535495" cy="1350120"/>
            <wp:effectExtent l="0" t="0" r="825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4212" cy="1352246"/>
                    </a:xfrm>
                    <a:prstGeom prst="rect">
                      <a:avLst/>
                    </a:prstGeom>
                    <a:noFill/>
                    <a:ln>
                      <a:noFill/>
                    </a:ln>
                  </pic:spPr>
                </pic:pic>
              </a:graphicData>
            </a:graphic>
          </wp:inline>
        </w:drawing>
      </w:r>
    </w:p>
    <w:p w:rsidR="00370072" w:rsidRPr="00370072" w:rsidRDefault="00370072" w:rsidP="00BC03D5">
      <w:pPr>
        <w:pStyle w:val="ListParagraph"/>
        <w:ind w:left="567"/>
        <w:jc w:val="both"/>
        <w:rPr>
          <w:rFonts w:cs="Arial"/>
        </w:rPr>
      </w:pPr>
    </w:p>
    <w:p w:rsidR="00FC623F" w:rsidRPr="004D1B4F" w:rsidRDefault="00AA1494" w:rsidP="00531831">
      <w:pPr>
        <w:pStyle w:val="ListParagraph"/>
        <w:numPr>
          <w:ilvl w:val="0"/>
          <w:numId w:val="173"/>
        </w:numPr>
        <w:ind w:left="567" w:hanging="567"/>
        <w:jc w:val="both"/>
        <w:rPr>
          <w:rFonts w:cs="Arial"/>
        </w:rPr>
      </w:pPr>
      <w:r w:rsidRPr="004D1B4F">
        <w:rPr>
          <w:rFonts w:cs="Arial"/>
          <w:bCs/>
        </w:rPr>
        <w:t xml:space="preserve">As at </w:t>
      </w:r>
      <w:r w:rsidR="001F7015" w:rsidRPr="004D1B4F">
        <w:rPr>
          <w:rFonts w:cs="Arial"/>
          <w:bCs/>
        </w:rPr>
        <w:t>Q</w:t>
      </w:r>
      <w:r w:rsidRPr="004D1B4F">
        <w:rPr>
          <w:rFonts w:cs="Arial"/>
          <w:bCs/>
        </w:rPr>
        <w:t xml:space="preserve">uarter </w:t>
      </w:r>
      <w:r w:rsidR="00334626" w:rsidRPr="004D1B4F">
        <w:rPr>
          <w:rFonts w:cs="Arial"/>
          <w:bCs/>
        </w:rPr>
        <w:t>2</w:t>
      </w:r>
      <w:r w:rsidRPr="004D1B4F">
        <w:rPr>
          <w:rFonts w:cs="Arial"/>
          <w:bCs/>
        </w:rPr>
        <w:t>, 7</w:t>
      </w:r>
      <w:r w:rsidR="00313F0D" w:rsidRPr="004D1B4F">
        <w:rPr>
          <w:rFonts w:cs="Arial"/>
          <w:bCs/>
        </w:rPr>
        <w:t>0</w:t>
      </w:r>
      <w:r w:rsidRPr="004D1B4F">
        <w:rPr>
          <w:rFonts w:cs="Arial"/>
          <w:bCs/>
        </w:rPr>
        <w:t>% of the 2018/19 savings are rated green (Clear delivery plans in place and running to timescale), 1</w:t>
      </w:r>
      <w:r w:rsidR="00BB6909" w:rsidRPr="004D1B4F">
        <w:rPr>
          <w:rFonts w:cs="Arial"/>
          <w:bCs/>
        </w:rPr>
        <w:t>8</w:t>
      </w:r>
      <w:r w:rsidRPr="004D1B4F">
        <w:rPr>
          <w:rFonts w:cs="Arial"/>
          <w:bCs/>
        </w:rPr>
        <w:t>% are rated as amber (Potential for slippage but project will be delivered as originally intended but not within timescale, so saving will not be fully realised), whilst 1</w:t>
      </w:r>
      <w:r w:rsidR="005737E7" w:rsidRPr="004D1B4F">
        <w:rPr>
          <w:rFonts w:cs="Arial"/>
          <w:bCs/>
        </w:rPr>
        <w:t>2</w:t>
      </w:r>
      <w:r w:rsidRPr="004D1B4F">
        <w:rPr>
          <w:rFonts w:cs="Arial"/>
          <w:bCs/>
        </w:rPr>
        <w:t xml:space="preserve">% are rated as red (Project may have started but will deliver no savings in the current financial year, Project cannot be delivered but underspends found elsewhere to mitigate savings). </w:t>
      </w:r>
    </w:p>
    <w:p w:rsidR="00E56C38" w:rsidRPr="000830CB" w:rsidRDefault="00E56C38" w:rsidP="008C337C">
      <w:pPr>
        <w:pStyle w:val="ListParagraph"/>
        <w:rPr>
          <w:rFonts w:cs="Arial"/>
        </w:rPr>
      </w:pPr>
    </w:p>
    <w:p w:rsidR="00313F0D" w:rsidRPr="008C337C" w:rsidRDefault="00F70EFE" w:rsidP="00531831">
      <w:pPr>
        <w:pStyle w:val="ListParagraph"/>
        <w:numPr>
          <w:ilvl w:val="0"/>
          <w:numId w:val="173"/>
        </w:numPr>
        <w:ind w:left="567" w:hanging="567"/>
        <w:jc w:val="both"/>
        <w:rPr>
          <w:rFonts w:cs="Arial"/>
          <w:bCs/>
        </w:rPr>
      </w:pPr>
      <w:r>
        <w:rPr>
          <w:rFonts w:cs="Arial"/>
          <w:b/>
        </w:rPr>
        <w:t xml:space="preserve">There has been  </w:t>
      </w:r>
      <w:r w:rsidR="005737E7" w:rsidRPr="007B12C5">
        <w:rPr>
          <w:rFonts w:cs="Arial"/>
          <w:b/>
        </w:rPr>
        <w:t>£0.</w:t>
      </w:r>
      <w:r w:rsidR="00313F0D" w:rsidRPr="007B12C5">
        <w:rPr>
          <w:rFonts w:cs="Arial"/>
          <w:b/>
        </w:rPr>
        <w:t>3</w:t>
      </w:r>
      <w:r w:rsidR="00AF2CDF" w:rsidRPr="007B12C5">
        <w:rPr>
          <w:rFonts w:cs="Arial"/>
          <w:b/>
        </w:rPr>
        <w:t>75</w:t>
      </w:r>
      <w:r w:rsidR="005737E7" w:rsidRPr="007B12C5">
        <w:rPr>
          <w:rFonts w:cs="Arial"/>
          <w:b/>
        </w:rPr>
        <w:t>m</w:t>
      </w:r>
      <w:r w:rsidR="00AF2CDF" w:rsidRPr="008C337C">
        <w:rPr>
          <w:rFonts w:cs="Arial"/>
        </w:rPr>
        <w:t xml:space="preserve"> movement </w:t>
      </w:r>
      <w:r>
        <w:rPr>
          <w:rFonts w:cs="Arial"/>
        </w:rPr>
        <w:t xml:space="preserve">the </w:t>
      </w:r>
      <w:r w:rsidR="00AF2CDF" w:rsidRPr="008C337C">
        <w:rPr>
          <w:rFonts w:cs="Arial"/>
        </w:rPr>
        <w:t>between green,</w:t>
      </w:r>
      <w:r w:rsidR="00313F0D" w:rsidRPr="008C337C">
        <w:rPr>
          <w:rFonts w:cs="Arial"/>
        </w:rPr>
        <w:t xml:space="preserve"> amber </w:t>
      </w:r>
      <w:r w:rsidR="00AF2CDF" w:rsidRPr="008C337C">
        <w:rPr>
          <w:rFonts w:cs="Arial"/>
        </w:rPr>
        <w:t xml:space="preserve"> and red</w:t>
      </w:r>
      <w:r w:rsidR="001F7015">
        <w:rPr>
          <w:rFonts w:cs="Arial"/>
        </w:rPr>
        <w:t xml:space="preserve"> savings between Q</w:t>
      </w:r>
      <w:r>
        <w:rPr>
          <w:rFonts w:cs="Arial"/>
        </w:rPr>
        <w:t>uarter 1 and 2</w:t>
      </w:r>
      <w:r w:rsidR="00313F0D" w:rsidRPr="008C337C">
        <w:rPr>
          <w:rFonts w:cs="Arial"/>
        </w:rPr>
        <w:t xml:space="preserve"> as follows;</w:t>
      </w:r>
    </w:p>
    <w:p w:rsidR="00313F0D" w:rsidRPr="008C337C" w:rsidRDefault="00313F0D" w:rsidP="008C337C">
      <w:pPr>
        <w:pStyle w:val="ListParagraph"/>
        <w:rPr>
          <w:rFonts w:cs="Arial"/>
          <w:b/>
        </w:rPr>
      </w:pPr>
    </w:p>
    <w:p w:rsidR="00AF2CDF" w:rsidRPr="00A51B2C" w:rsidRDefault="00E56C38" w:rsidP="008C337C">
      <w:pPr>
        <w:pStyle w:val="ListParagraph"/>
        <w:numPr>
          <w:ilvl w:val="0"/>
          <w:numId w:val="168"/>
        </w:numPr>
        <w:jc w:val="both"/>
        <w:rPr>
          <w:rFonts w:cs="Arial"/>
          <w:bCs/>
        </w:rPr>
      </w:pPr>
      <w:r w:rsidRPr="008C337C">
        <w:rPr>
          <w:rFonts w:cs="Arial"/>
          <w:b/>
        </w:rPr>
        <w:t>Housing Related Support Procurement savings (COM 18.19_S0</w:t>
      </w:r>
      <w:r w:rsidR="00313F0D" w:rsidRPr="008C337C">
        <w:rPr>
          <w:rFonts w:cs="Arial"/>
          <w:b/>
        </w:rPr>
        <w:t>8) £</w:t>
      </w:r>
      <w:r w:rsidR="00D76D65">
        <w:rPr>
          <w:rFonts w:cs="Arial"/>
          <w:b/>
        </w:rPr>
        <w:t>0.</w:t>
      </w:r>
      <w:r w:rsidR="00313F0D" w:rsidRPr="008C337C">
        <w:rPr>
          <w:rFonts w:cs="Arial"/>
          <w:b/>
        </w:rPr>
        <w:t>100</w:t>
      </w:r>
      <w:r w:rsidR="00D76D65">
        <w:rPr>
          <w:rFonts w:cs="Arial"/>
          <w:b/>
        </w:rPr>
        <w:t>m</w:t>
      </w:r>
      <w:r w:rsidRPr="008C337C">
        <w:rPr>
          <w:rFonts w:cs="Arial"/>
          <w:b/>
        </w:rPr>
        <w:t xml:space="preserve"> </w:t>
      </w:r>
      <w:r w:rsidR="005737E7" w:rsidRPr="008C337C">
        <w:rPr>
          <w:rFonts w:cs="Arial"/>
          <w:b/>
        </w:rPr>
        <w:t xml:space="preserve"> </w:t>
      </w:r>
      <w:r w:rsidR="005737E7" w:rsidRPr="00D76D65">
        <w:rPr>
          <w:rFonts w:cs="Arial"/>
        </w:rPr>
        <w:t>has been reclassified as amber from green</w:t>
      </w:r>
      <w:r w:rsidR="005737E7">
        <w:rPr>
          <w:rFonts w:cs="Arial"/>
        </w:rPr>
        <w:t xml:space="preserve">, this is due to expected £59k pressure as a result of </w:t>
      </w:r>
      <w:r w:rsidR="005737E7" w:rsidRPr="005737E7">
        <w:rPr>
          <w:rFonts w:cs="Arial"/>
        </w:rPr>
        <w:t>late contract start date and unbudgeted TUPE expenditure.</w:t>
      </w:r>
    </w:p>
    <w:p w:rsidR="0059129E" w:rsidRPr="00A51B2C" w:rsidRDefault="0059129E" w:rsidP="008C337C">
      <w:pPr>
        <w:pStyle w:val="ListParagraph"/>
        <w:ind w:left="1446"/>
        <w:jc w:val="both"/>
        <w:rPr>
          <w:rFonts w:cs="Arial"/>
          <w:bCs/>
        </w:rPr>
      </w:pPr>
    </w:p>
    <w:p w:rsidR="00313F0D" w:rsidRPr="008C337C" w:rsidRDefault="00313F0D" w:rsidP="008C337C">
      <w:pPr>
        <w:pStyle w:val="ListParagraph"/>
        <w:numPr>
          <w:ilvl w:val="0"/>
          <w:numId w:val="168"/>
        </w:numPr>
        <w:jc w:val="both"/>
        <w:rPr>
          <w:rFonts w:cs="Arial"/>
          <w:b/>
          <w:bCs/>
        </w:rPr>
      </w:pPr>
      <w:r w:rsidRPr="008C337C">
        <w:rPr>
          <w:rFonts w:cs="Arial"/>
          <w:b/>
          <w:bCs/>
        </w:rPr>
        <w:t>Phase 2 of Environment &amp; Culture Review - Regulatory Services</w:t>
      </w:r>
      <w:r>
        <w:rPr>
          <w:rFonts w:cs="Arial"/>
          <w:b/>
          <w:bCs/>
        </w:rPr>
        <w:t xml:space="preserve"> £</w:t>
      </w:r>
      <w:r w:rsidR="00D76D65">
        <w:rPr>
          <w:rFonts w:cs="Arial"/>
          <w:b/>
          <w:bCs/>
        </w:rPr>
        <w:t>0.</w:t>
      </w:r>
      <w:r w:rsidR="00AF2CDF">
        <w:rPr>
          <w:rFonts w:cs="Arial"/>
          <w:b/>
          <w:bCs/>
        </w:rPr>
        <w:t>200</w:t>
      </w:r>
      <w:r w:rsidR="00D76D65">
        <w:rPr>
          <w:rFonts w:cs="Arial"/>
          <w:b/>
          <w:bCs/>
        </w:rPr>
        <w:t>m</w:t>
      </w:r>
      <w:r w:rsidR="00AF2CDF">
        <w:rPr>
          <w:rFonts w:cs="Arial"/>
          <w:b/>
          <w:bCs/>
        </w:rPr>
        <w:t xml:space="preserve"> </w:t>
      </w:r>
      <w:r w:rsidR="00AF2CDF" w:rsidRPr="008C337C">
        <w:rPr>
          <w:rFonts w:cs="Arial"/>
          <w:bCs/>
        </w:rPr>
        <w:t>savings has moved from green to amber</w:t>
      </w:r>
      <w:r w:rsidR="00AF2CDF">
        <w:rPr>
          <w:rFonts w:cs="Arial"/>
          <w:b/>
          <w:bCs/>
        </w:rPr>
        <w:t xml:space="preserve"> - </w:t>
      </w:r>
      <w:r w:rsidRPr="008C337C">
        <w:rPr>
          <w:rFonts w:cs="Arial"/>
          <w:bCs/>
        </w:rPr>
        <w:t>Plans are put in place to maximise licensing activities. The introduction of borough wide P</w:t>
      </w:r>
      <w:r w:rsidR="00A4363A">
        <w:rPr>
          <w:rFonts w:cs="Arial"/>
          <w:bCs/>
        </w:rPr>
        <w:t xml:space="preserve">ublic </w:t>
      </w:r>
      <w:r w:rsidRPr="008C337C">
        <w:rPr>
          <w:rFonts w:cs="Arial"/>
          <w:bCs/>
        </w:rPr>
        <w:t>S</w:t>
      </w:r>
      <w:r w:rsidR="00A4363A">
        <w:rPr>
          <w:rFonts w:cs="Arial"/>
          <w:bCs/>
        </w:rPr>
        <w:t xml:space="preserve">paces </w:t>
      </w:r>
      <w:r w:rsidRPr="008C337C">
        <w:rPr>
          <w:rFonts w:cs="Arial"/>
          <w:bCs/>
        </w:rPr>
        <w:t>P</w:t>
      </w:r>
      <w:r w:rsidR="00A4363A">
        <w:rPr>
          <w:rFonts w:cs="Arial"/>
          <w:bCs/>
        </w:rPr>
        <w:t xml:space="preserve">rotection </w:t>
      </w:r>
      <w:r w:rsidRPr="008C337C">
        <w:rPr>
          <w:rFonts w:cs="Arial"/>
          <w:bCs/>
        </w:rPr>
        <w:t>O</w:t>
      </w:r>
      <w:r w:rsidR="00A4363A">
        <w:rPr>
          <w:rFonts w:cs="Arial"/>
          <w:bCs/>
        </w:rPr>
        <w:t>rder</w:t>
      </w:r>
      <w:r w:rsidRPr="008C337C">
        <w:rPr>
          <w:rFonts w:cs="Arial"/>
          <w:bCs/>
        </w:rPr>
        <w:t xml:space="preserve"> to address environmental issues and new enforcement powers under the Housing and Planning Act 2016 ensures that enforcement actions can be effectively undertaken. A review of Public Protection is also underway. All these are expected to contribute to partially achieving the saving target.</w:t>
      </w:r>
    </w:p>
    <w:p w:rsidR="00AF2CDF" w:rsidRPr="008C337C" w:rsidRDefault="00AF2CDF" w:rsidP="008C337C">
      <w:pPr>
        <w:pStyle w:val="ListParagraph"/>
        <w:ind w:left="1446"/>
        <w:jc w:val="both"/>
        <w:rPr>
          <w:rFonts w:cs="Arial"/>
          <w:b/>
          <w:bCs/>
        </w:rPr>
      </w:pPr>
    </w:p>
    <w:p w:rsidR="002B0403" w:rsidRPr="00531831" w:rsidRDefault="00AF2CDF">
      <w:pPr>
        <w:pStyle w:val="ListParagraph"/>
        <w:numPr>
          <w:ilvl w:val="0"/>
          <w:numId w:val="168"/>
        </w:numPr>
        <w:jc w:val="both"/>
        <w:rPr>
          <w:rFonts w:cs="Arial"/>
        </w:rPr>
      </w:pPr>
      <w:r w:rsidRPr="00024DD4">
        <w:rPr>
          <w:rFonts w:cs="Arial"/>
          <w:b/>
          <w:bCs/>
        </w:rPr>
        <w:t xml:space="preserve">£75k savings for Route Optimisation of food waste collection savings (COM_S12) </w:t>
      </w:r>
      <w:r w:rsidRPr="00024DD4">
        <w:rPr>
          <w:rFonts w:cs="Arial"/>
          <w:bCs/>
        </w:rPr>
        <w:t>has also been reclassified from green to red</w:t>
      </w:r>
      <w:r w:rsidRPr="00024DD4">
        <w:rPr>
          <w:rFonts w:cs="Arial"/>
          <w:b/>
          <w:bCs/>
        </w:rPr>
        <w:t xml:space="preserve"> - </w:t>
      </w:r>
      <w:r w:rsidRPr="00024DD4">
        <w:rPr>
          <w:rFonts w:cs="Arial"/>
          <w:bCs/>
        </w:rPr>
        <w:t>Although the initiatives in relation to food waste collection are being progressed as part of Waste Review, the saving likely to be achieved in the latter part of the financial year will be offset by the additional costs from other proposed changes within the review.</w:t>
      </w:r>
    </w:p>
    <w:p w:rsidR="00864919" w:rsidRPr="00531831" w:rsidRDefault="00864919" w:rsidP="00531831">
      <w:pPr>
        <w:pStyle w:val="ListParagraph"/>
        <w:rPr>
          <w:rFonts w:cs="Arial"/>
        </w:rPr>
      </w:pPr>
    </w:p>
    <w:p w:rsidR="0059129E" w:rsidRPr="008C337C" w:rsidRDefault="0059129E" w:rsidP="008C337C">
      <w:pPr>
        <w:ind w:firstLine="720"/>
        <w:jc w:val="both"/>
        <w:rPr>
          <w:rFonts w:cs="Arial"/>
          <w:b/>
          <w:bCs/>
          <w:u w:val="single"/>
        </w:rPr>
      </w:pPr>
      <w:r w:rsidRPr="008C337C">
        <w:rPr>
          <w:rFonts w:cs="Arial"/>
          <w:b/>
          <w:bCs/>
          <w:u w:val="single"/>
        </w:rPr>
        <w:t>Debt Write-off</w:t>
      </w:r>
    </w:p>
    <w:p w:rsidR="0059129E" w:rsidRPr="00C86579" w:rsidRDefault="0059129E" w:rsidP="008C337C">
      <w:pPr>
        <w:pStyle w:val="ListParagraph"/>
        <w:rPr>
          <w:rFonts w:cs="Arial"/>
        </w:rPr>
      </w:pPr>
    </w:p>
    <w:p w:rsidR="0059129E" w:rsidRPr="00480119" w:rsidRDefault="0059129E" w:rsidP="00531831">
      <w:pPr>
        <w:pStyle w:val="ListParagraph"/>
        <w:numPr>
          <w:ilvl w:val="0"/>
          <w:numId w:val="173"/>
        </w:numPr>
        <w:ind w:left="567" w:hanging="567"/>
        <w:jc w:val="both"/>
        <w:rPr>
          <w:rFonts w:cs="Arial"/>
          <w:bCs/>
        </w:rPr>
      </w:pPr>
      <w:r w:rsidRPr="00480119">
        <w:rPr>
          <w:rFonts w:cs="Arial"/>
          <w:bCs/>
        </w:rPr>
        <w:t>An invoice of £</w:t>
      </w:r>
      <w:r w:rsidR="009F569E" w:rsidRPr="00480119">
        <w:rPr>
          <w:rFonts w:cs="Arial"/>
          <w:bCs/>
        </w:rPr>
        <w:t>0.</w:t>
      </w:r>
      <w:r w:rsidRPr="00480119">
        <w:rPr>
          <w:rFonts w:cs="Arial"/>
          <w:bCs/>
        </w:rPr>
        <w:t>162</w:t>
      </w:r>
      <w:r w:rsidR="009F569E" w:rsidRPr="00480119">
        <w:rPr>
          <w:rFonts w:cs="Arial"/>
          <w:bCs/>
        </w:rPr>
        <w:t>m</w:t>
      </w:r>
      <w:r w:rsidRPr="00480119">
        <w:rPr>
          <w:rFonts w:cs="Arial"/>
          <w:bCs/>
        </w:rPr>
        <w:t xml:space="preserve"> was raised against </w:t>
      </w:r>
      <w:proofErr w:type="spellStart"/>
      <w:r w:rsidRPr="00480119">
        <w:rPr>
          <w:rFonts w:cs="Arial"/>
          <w:bCs/>
        </w:rPr>
        <w:t>Cultura</w:t>
      </w:r>
      <w:proofErr w:type="spellEnd"/>
      <w:r w:rsidRPr="00480119">
        <w:rPr>
          <w:rFonts w:cs="Arial"/>
          <w:bCs/>
        </w:rPr>
        <w:t xml:space="preserve"> London in </w:t>
      </w:r>
      <w:r w:rsidR="00F70EFE" w:rsidRPr="00480119">
        <w:rPr>
          <w:rFonts w:cs="Arial"/>
          <w:bCs/>
        </w:rPr>
        <w:t>20</w:t>
      </w:r>
      <w:r w:rsidRPr="00480119">
        <w:rPr>
          <w:rFonts w:cs="Arial"/>
          <w:bCs/>
        </w:rPr>
        <w:t>17/18 in relation to income activities undertaken on behalf of the Council. The liquidation process of the company has now been completed and therefore it is requested that the outstanding debt is fully written off</w:t>
      </w:r>
      <w:r w:rsidR="000F4223" w:rsidRPr="00480119">
        <w:rPr>
          <w:rFonts w:cs="Arial"/>
          <w:bCs/>
        </w:rPr>
        <w:t>.</w:t>
      </w:r>
      <w:r w:rsidR="00F70EFE" w:rsidRPr="00480119">
        <w:rPr>
          <w:rFonts w:cs="Arial"/>
          <w:bCs/>
        </w:rPr>
        <w:t xml:space="preserve"> This debt has been provided for.</w:t>
      </w:r>
    </w:p>
    <w:p w:rsidR="009F569E" w:rsidRDefault="009F569E" w:rsidP="008C337C">
      <w:pPr>
        <w:pStyle w:val="ListParagraph"/>
        <w:jc w:val="both"/>
        <w:rPr>
          <w:rFonts w:cs="Arial"/>
          <w:bCs/>
        </w:rPr>
      </w:pPr>
    </w:p>
    <w:p w:rsidR="000F4223" w:rsidRPr="00C86579" w:rsidRDefault="009F569E" w:rsidP="00531831">
      <w:pPr>
        <w:pStyle w:val="ListParagraph"/>
        <w:numPr>
          <w:ilvl w:val="0"/>
          <w:numId w:val="173"/>
        </w:numPr>
        <w:ind w:left="567" w:hanging="567"/>
        <w:jc w:val="both"/>
        <w:rPr>
          <w:rFonts w:cs="Arial"/>
          <w:bCs/>
        </w:rPr>
      </w:pPr>
      <w:r w:rsidRPr="008C337C">
        <w:rPr>
          <w:rFonts w:cs="Arial"/>
          <w:bCs/>
        </w:rPr>
        <w:t xml:space="preserve">Following a review of its debts, the Housing Service has identified amounts in the </w:t>
      </w:r>
      <w:r w:rsidRPr="008C337C">
        <w:rPr>
          <w:rFonts w:cs="Arial"/>
          <w:b/>
          <w:bCs/>
        </w:rPr>
        <w:t>Housing Revenue Account</w:t>
      </w:r>
      <w:r w:rsidRPr="008C337C">
        <w:rPr>
          <w:rFonts w:cs="Arial"/>
          <w:bCs/>
        </w:rPr>
        <w:t xml:space="preserve"> totalling £65k which is no longer considered recoverable, £5k of which relates to</w:t>
      </w:r>
      <w:r w:rsidR="00F70EFE">
        <w:rPr>
          <w:rFonts w:cs="Arial"/>
          <w:bCs/>
        </w:rPr>
        <w:t xml:space="preserve"> debt of</w:t>
      </w:r>
      <w:r w:rsidRPr="008C337C">
        <w:rPr>
          <w:rFonts w:cs="Arial"/>
          <w:bCs/>
        </w:rPr>
        <w:t xml:space="preserve"> deceased tenants, with</w:t>
      </w:r>
      <w:r w:rsidR="00F70EFE">
        <w:rPr>
          <w:rFonts w:cs="Arial"/>
          <w:bCs/>
        </w:rPr>
        <w:t xml:space="preserve"> the </w:t>
      </w:r>
      <w:r w:rsidRPr="008C337C">
        <w:rPr>
          <w:rFonts w:cs="Arial"/>
          <w:bCs/>
        </w:rPr>
        <w:t>remainder due to tenants not traceable following exhaustion of all approved channels and uneconomical to pursue. These debts have already been provided for and represent no additional charge to HRA balances. In line with Council’s debt management policy, it is recommended Cabinet approves the write off of this amount</w:t>
      </w:r>
      <w:r>
        <w:rPr>
          <w:rFonts w:cs="Arial"/>
          <w:bCs/>
        </w:rPr>
        <w:t>.</w:t>
      </w:r>
    </w:p>
    <w:p w:rsidR="004D1B4F" w:rsidRDefault="004D1B4F" w:rsidP="00BF68A9">
      <w:pPr>
        <w:pStyle w:val="ListParagraph"/>
        <w:ind w:left="567"/>
        <w:jc w:val="both"/>
        <w:rPr>
          <w:rFonts w:cs="Arial"/>
        </w:rPr>
      </w:pPr>
    </w:p>
    <w:p w:rsidR="008D2420" w:rsidRDefault="008D2420" w:rsidP="00BF68A9">
      <w:pPr>
        <w:pStyle w:val="ListParagraph"/>
        <w:ind w:left="567"/>
        <w:jc w:val="both"/>
        <w:rPr>
          <w:rFonts w:cs="Arial"/>
        </w:rPr>
      </w:pPr>
    </w:p>
    <w:p w:rsidR="000D51A7" w:rsidRPr="0094250E" w:rsidRDefault="00241F36" w:rsidP="00BF68A9">
      <w:pPr>
        <w:pStyle w:val="ListParagraph"/>
        <w:ind w:left="567"/>
        <w:jc w:val="both"/>
        <w:rPr>
          <w:rFonts w:cs="Arial"/>
          <w:b/>
          <w:u w:val="single"/>
        </w:rPr>
      </w:pPr>
      <w:r w:rsidRPr="00C62552" w:rsidDel="00241F36">
        <w:rPr>
          <w:rFonts w:cs="Arial"/>
        </w:rPr>
        <w:t xml:space="preserve"> </w:t>
      </w:r>
      <w:r w:rsidR="00B60FD4">
        <w:rPr>
          <w:rFonts w:cs="Arial"/>
          <w:b/>
          <w:u w:val="single"/>
        </w:rPr>
        <w:t>Capital Programme</w:t>
      </w:r>
    </w:p>
    <w:p w:rsidR="000D51A7" w:rsidRPr="00DD7468" w:rsidRDefault="000D51A7" w:rsidP="00AA3B74">
      <w:pPr>
        <w:pStyle w:val="ListParagraph"/>
        <w:ind w:left="567"/>
        <w:jc w:val="both"/>
        <w:rPr>
          <w:rFonts w:cs="Arial"/>
        </w:rPr>
      </w:pPr>
    </w:p>
    <w:p w:rsidR="00045172" w:rsidRPr="003D5622" w:rsidRDefault="00045172" w:rsidP="00AA3B74">
      <w:pPr>
        <w:pStyle w:val="ListParagraph"/>
        <w:numPr>
          <w:ilvl w:val="0"/>
          <w:numId w:val="114"/>
        </w:numPr>
        <w:ind w:left="567" w:hanging="567"/>
        <w:jc w:val="both"/>
        <w:rPr>
          <w:rFonts w:cs="Arial"/>
        </w:rPr>
      </w:pPr>
      <w:r>
        <w:rPr>
          <w:rFonts w:cs="Arial"/>
          <w:bCs/>
          <w:szCs w:val="24"/>
        </w:rPr>
        <w:t>The 20</w:t>
      </w:r>
      <w:r w:rsidRPr="00045172">
        <w:rPr>
          <w:rFonts w:cs="Arial"/>
          <w:bCs/>
          <w:szCs w:val="24"/>
        </w:rPr>
        <w:t>18</w:t>
      </w:r>
      <w:r>
        <w:rPr>
          <w:rFonts w:cs="Arial"/>
          <w:bCs/>
          <w:szCs w:val="24"/>
        </w:rPr>
        <w:t>/19</w:t>
      </w:r>
      <w:r w:rsidRPr="00045172">
        <w:rPr>
          <w:rFonts w:cs="Arial"/>
          <w:bCs/>
          <w:szCs w:val="24"/>
        </w:rPr>
        <w:t xml:space="preserve"> capital programme ag</w:t>
      </w:r>
      <w:r>
        <w:rPr>
          <w:rFonts w:cs="Arial"/>
          <w:bCs/>
          <w:szCs w:val="24"/>
        </w:rPr>
        <w:t>reed by Council in February 2018 totalled £1</w:t>
      </w:r>
      <w:r w:rsidR="008D3E9D">
        <w:rPr>
          <w:rFonts w:cs="Arial"/>
          <w:bCs/>
          <w:szCs w:val="24"/>
        </w:rPr>
        <w:t>28.069</w:t>
      </w:r>
      <w:r w:rsidRPr="00045172">
        <w:rPr>
          <w:rFonts w:cs="Arial"/>
          <w:bCs/>
          <w:szCs w:val="24"/>
        </w:rPr>
        <w:t>m.  After allowin</w:t>
      </w:r>
      <w:r>
        <w:rPr>
          <w:rFonts w:cs="Arial"/>
          <w:bCs/>
          <w:szCs w:val="24"/>
        </w:rPr>
        <w:t>g for agreed slippage of £65.5m from 20</w:t>
      </w:r>
      <w:r w:rsidRPr="00045172">
        <w:rPr>
          <w:rFonts w:cs="Arial"/>
          <w:bCs/>
          <w:szCs w:val="24"/>
        </w:rPr>
        <w:t>17</w:t>
      </w:r>
      <w:r>
        <w:rPr>
          <w:rFonts w:cs="Arial"/>
          <w:bCs/>
          <w:szCs w:val="24"/>
        </w:rPr>
        <w:t>/18</w:t>
      </w:r>
      <w:r w:rsidRPr="00045172">
        <w:rPr>
          <w:rFonts w:cs="Arial"/>
          <w:bCs/>
          <w:szCs w:val="24"/>
        </w:rPr>
        <w:t xml:space="preserve"> outturn and other approved amendments </w:t>
      </w:r>
      <w:r w:rsidR="00024DD4">
        <w:rPr>
          <w:rFonts w:cs="Arial"/>
          <w:bCs/>
          <w:szCs w:val="24"/>
        </w:rPr>
        <w:t xml:space="preserve">of £21.764 </w:t>
      </w:r>
      <w:r w:rsidRPr="00045172">
        <w:rPr>
          <w:rFonts w:cs="Arial"/>
          <w:bCs/>
          <w:szCs w:val="24"/>
        </w:rPr>
        <w:t>the programme</w:t>
      </w:r>
      <w:r w:rsidR="007140D3">
        <w:rPr>
          <w:rFonts w:cs="Arial"/>
          <w:bCs/>
          <w:szCs w:val="24"/>
        </w:rPr>
        <w:t xml:space="preserve"> </w:t>
      </w:r>
      <w:r w:rsidRPr="00045172">
        <w:rPr>
          <w:rFonts w:cs="Arial"/>
          <w:bCs/>
          <w:szCs w:val="24"/>
        </w:rPr>
        <w:t xml:space="preserve">now </w:t>
      </w:r>
      <w:r>
        <w:rPr>
          <w:rFonts w:cs="Arial"/>
          <w:bCs/>
          <w:szCs w:val="24"/>
        </w:rPr>
        <w:t>totals £</w:t>
      </w:r>
      <w:r w:rsidR="00656C30">
        <w:rPr>
          <w:rFonts w:cs="Arial"/>
          <w:bCs/>
          <w:szCs w:val="24"/>
        </w:rPr>
        <w:t>215.333</w:t>
      </w:r>
      <w:r w:rsidRPr="00045172">
        <w:rPr>
          <w:rFonts w:cs="Arial"/>
          <w:bCs/>
          <w:szCs w:val="24"/>
        </w:rPr>
        <w:t>m at Quarter</w:t>
      </w:r>
      <w:r>
        <w:rPr>
          <w:rFonts w:cs="Arial"/>
          <w:bCs/>
          <w:szCs w:val="24"/>
        </w:rPr>
        <w:t xml:space="preserve"> </w:t>
      </w:r>
      <w:r w:rsidR="00656C30">
        <w:rPr>
          <w:rFonts w:cs="Arial"/>
          <w:bCs/>
          <w:szCs w:val="24"/>
        </w:rPr>
        <w:t>2</w:t>
      </w:r>
      <w:r>
        <w:rPr>
          <w:rFonts w:cs="Arial"/>
          <w:bCs/>
          <w:szCs w:val="24"/>
        </w:rPr>
        <w:t>.</w:t>
      </w:r>
    </w:p>
    <w:p w:rsidR="007F0EB9" w:rsidRPr="00C523F9" w:rsidRDefault="007F0EB9" w:rsidP="008C337C">
      <w:pPr>
        <w:pStyle w:val="ListParagraph"/>
        <w:ind w:left="567"/>
        <w:jc w:val="both"/>
        <w:rPr>
          <w:rFonts w:cs="Arial"/>
        </w:rPr>
      </w:pPr>
    </w:p>
    <w:p w:rsidR="007F0EB9" w:rsidRPr="008C337C" w:rsidRDefault="00DD6CE8" w:rsidP="008C337C">
      <w:pPr>
        <w:pStyle w:val="ListParagraph"/>
        <w:ind w:left="567"/>
        <w:jc w:val="both"/>
        <w:rPr>
          <w:rFonts w:cs="Arial"/>
          <w:b/>
          <w:bCs/>
          <w:szCs w:val="24"/>
          <w:u w:val="single"/>
        </w:rPr>
      </w:pPr>
      <w:r>
        <w:rPr>
          <w:rFonts w:cs="Arial"/>
          <w:b/>
          <w:bCs/>
          <w:szCs w:val="24"/>
          <w:u w:val="single"/>
        </w:rPr>
        <w:t xml:space="preserve">Table 10: </w:t>
      </w:r>
      <w:r w:rsidR="007F0EB9" w:rsidRPr="008C337C">
        <w:rPr>
          <w:rFonts w:cs="Arial"/>
          <w:b/>
          <w:bCs/>
          <w:szCs w:val="24"/>
          <w:u w:val="single"/>
        </w:rPr>
        <w:t>Capital Outturn Summary</w:t>
      </w:r>
    </w:p>
    <w:p w:rsidR="007F0EB9" w:rsidRPr="001215B6" w:rsidRDefault="004D3EA8" w:rsidP="008C337C">
      <w:pPr>
        <w:pStyle w:val="ListParagraph"/>
        <w:ind w:left="567"/>
        <w:jc w:val="both"/>
        <w:rPr>
          <w:rFonts w:cs="Arial"/>
        </w:rPr>
      </w:pPr>
      <w:r w:rsidRPr="004D3EA8">
        <w:rPr>
          <w:noProof/>
          <w:lang w:eastAsia="en-GB"/>
        </w:rPr>
        <w:drawing>
          <wp:inline distT="0" distB="0" distL="0" distR="0" wp14:anchorId="782A607E" wp14:editId="0CC4AA87">
            <wp:extent cx="6122035" cy="187655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1876554"/>
                    </a:xfrm>
                    <a:prstGeom prst="rect">
                      <a:avLst/>
                    </a:prstGeom>
                    <a:noFill/>
                    <a:ln>
                      <a:noFill/>
                    </a:ln>
                  </pic:spPr>
                </pic:pic>
              </a:graphicData>
            </a:graphic>
          </wp:inline>
        </w:drawing>
      </w:r>
    </w:p>
    <w:p w:rsidR="001215B6" w:rsidRPr="001215B6" w:rsidRDefault="001215B6" w:rsidP="00BC03D5">
      <w:pPr>
        <w:pStyle w:val="ListParagraph"/>
        <w:rPr>
          <w:rFonts w:cs="Arial"/>
        </w:rPr>
      </w:pPr>
    </w:p>
    <w:p w:rsidR="001215B6" w:rsidRPr="00C21C0B" w:rsidRDefault="001215B6" w:rsidP="00AA3B74">
      <w:pPr>
        <w:pStyle w:val="ListParagraph"/>
        <w:numPr>
          <w:ilvl w:val="0"/>
          <w:numId w:val="114"/>
        </w:numPr>
        <w:ind w:left="567" w:hanging="567"/>
        <w:jc w:val="both"/>
        <w:rPr>
          <w:rFonts w:cs="Arial"/>
        </w:rPr>
      </w:pPr>
      <w:r w:rsidRPr="001215B6">
        <w:rPr>
          <w:rFonts w:cs="Arial"/>
          <w:bCs/>
        </w:rPr>
        <w:t xml:space="preserve">The forecast spend at </w:t>
      </w:r>
      <w:r w:rsidR="001F7015">
        <w:rPr>
          <w:rFonts w:cs="Arial"/>
          <w:bCs/>
        </w:rPr>
        <w:t>Quarter</w:t>
      </w:r>
      <w:r w:rsidRPr="001215B6">
        <w:rPr>
          <w:rFonts w:cs="Arial"/>
          <w:bCs/>
        </w:rPr>
        <w:t xml:space="preserve"> </w:t>
      </w:r>
      <w:r w:rsidR="00656C30">
        <w:rPr>
          <w:rFonts w:cs="Arial"/>
          <w:bCs/>
        </w:rPr>
        <w:t>2</w:t>
      </w:r>
      <w:r w:rsidRPr="001215B6">
        <w:rPr>
          <w:rFonts w:cs="Arial"/>
          <w:bCs/>
        </w:rPr>
        <w:t xml:space="preserve"> is £</w:t>
      </w:r>
      <w:r w:rsidR="009C2951">
        <w:rPr>
          <w:rFonts w:cs="Arial"/>
          <w:bCs/>
        </w:rPr>
        <w:t>96.</w:t>
      </w:r>
      <w:r w:rsidR="00DE4C57">
        <w:rPr>
          <w:rFonts w:cs="Arial"/>
          <w:bCs/>
        </w:rPr>
        <w:t>3</w:t>
      </w:r>
      <w:r w:rsidR="004C5F4C">
        <w:rPr>
          <w:rFonts w:cs="Arial"/>
          <w:bCs/>
        </w:rPr>
        <w:t>90</w:t>
      </w:r>
      <w:r w:rsidRPr="001215B6">
        <w:rPr>
          <w:rFonts w:cs="Arial"/>
          <w:bCs/>
        </w:rPr>
        <w:t xml:space="preserve">m, </w:t>
      </w:r>
      <w:r w:rsidR="00435813">
        <w:rPr>
          <w:rFonts w:cs="Arial"/>
          <w:bCs/>
        </w:rPr>
        <w:t>4</w:t>
      </w:r>
      <w:r w:rsidR="009C2951">
        <w:rPr>
          <w:rFonts w:cs="Arial"/>
          <w:bCs/>
        </w:rPr>
        <w:t>5</w:t>
      </w:r>
      <w:r w:rsidRPr="001215B6">
        <w:rPr>
          <w:rFonts w:cs="Arial"/>
          <w:bCs/>
        </w:rPr>
        <w:t>% of the total capital programme</w:t>
      </w:r>
      <w:r w:rsidR="00C21C0B">
        <w:rPr>
          <w:rFonts w:cs="Arial"/>
          <w:bCs/>
        </w:rPr>
        <w:t>.</w:t>
      </w:r>
    </w:p>
    <w:p w:rsidR="00C21C0B" w:rsidRPr="00C21C0B" w:rsidRDefault="00C21C0B" w:rsidP="00BC03D5">
      <w:pPr>
        <w:pStyle w:val="ListParagraph"/>
        <w:ind w:left="567"/>
        <w:jc w:val="both"/>
        <w:rPr>
          <w:rFonts w:cs="Arial"/>
        </w:rPr>
      </w:pPr>
      <w:r w:rsidRPr="00C21C0B">
        <w:rPr>
          <w:rFonts w:cs="Arial"/>
          <w:bCs/>
        </w:rPr>
        <w:t xml:space="preserve">The forecast variance on the General Fund at </w:t>
      </w:r>
      <w:r w:rsidR="001F7015">
        <w:rPr>
          <w:rFonts w:cs="Arial"/>
          <w:bCs/>
        </w:rPr>
        <w:t>Q</w:t>
      </w:r>
      <w:r w:rsidR="00656C30">
        <w:rPr>
          <w:rFonts w:cs="Arial"/>
          <w:bCs/>
        </w:rPr>
        <w:t>2</w:t>
      </w:r>
      <w:r w:rsidRPr="00C21C0B">
        <w:rPr>
          <w:rFonts w:cs="Arial"/>
          <w:bCs/>
        </w:rPr>
        <w:t xml:space="preserve"> is a variance of (£</w:t>
      </w:r>
      <w:r w:rsidR="00B14955">
        <w:rPr>
          <w:rFonts w:cs="Arial"/>
          <w:bCs/>
        </w:rPr>
        <w:t>10</w:t>
      </w:r>
      <w:r w:rsidR="004C5F4C">
        <w:rPr>
          <w:rFonts w:cs="Arial"/>
          <w:bCs/>
        </w:rPr>
        <w:t>7.</w:t>
      </w:r>
      <w:r w:rsidR="00DE4C57">
        <w:rPr>
          <w:rFonts w:cs="Arial"/>
          <w:bCs/>
        </w:rPr>
        <w:t>9</w:t>
      </w:r>
      <w:r w:rsidR="004C5F4C">
        <w:rPr>
          <w:rFonts w:cs="Arial"/>
          <w:bCs/>
        </w:rPr>
        <w:t>82</w:t>
      </w:r>
      <w:r w:rsidRPr="00C21C0B">
        <w:rPr>
          <w:rFonts w:cs="Arial"/>
          <w:bCs/>
        </w:rPr>
        <w:t>m) (</w:t>
      </w:r>
      <w:r w:rsidR="00435813">
        <w:rPr>
          <w:rFonts w:cs="Arial"/>
          <w:bCs/>
        </w:rPr>
        <w:t>5</w:t>
      </w:r>
      <w:r w:rsidR="00A27ACB">
        <w:rPr>
          <w:rFonts w:cs="Arial"/>
          <w:bCs/>
        </w:rPr>
        <w:t>6</w:t>
      </w:r>
      <w:r w:rsidR="00C725D3">
        <w:rPr>
          <w:rFonts w:cs="Arial"/>
          <w:bCs/>
        </w:rPr>
        <w:t>%)</w:t>
      </w:r>
      <w:r w:rsidR="00A27ACB">
        <w:rPr>
          <w:rFonts w:cs="Arial"/>
          <w:bCs/>
        </w:rPr>
        <w:t xml:space="preserve"> of the £193.994m budget</w:t>
      </w:r>
      <w:r w:rsidR="00C725D3">
        <w:rPr>
          <w:rFonts w:cs="Arial"/>
          <w:bCs/>
        </w:rPr>
        <w:t xml:space="preserve">, </w:t>
      </w:r>
      <w:r w:rsidRPr="00C21C0B">
        <w:rPr>
          <w:rFonts w:cs="Arial"/>
          <w:bCs/>
        </w:rPr>
        <w:t>of which £</w:t>
      </w:r>
      <w:r w:rsidR="004C5F4C">
        <w:rPr>
          <w:rFonts w:cs="Arial"/>
          <w:bCs/>
        </w:rPr>
        <w:t>42.782</w:t>
      </w:r>
      <w:r w:rsidRPr="00C21C0B">
        <w:rPr>
          <w:rFonts w:cs="Arial"/>
          <w:bCs/>
        </w:rPr>
        <w:t xml:space="preserve">m is </w:t>
      </w:r>
      <w:r w:rsidR="005A4DF8">
        <w:rPr>
          <w:rFonts w:cs="Arial"/>
          <w:bCs/>
        </w:rPr>
        <w:t xml:space="preserve">the </w:t>
      </w:r>
      <w:r w:rsidRPr="00C21C0B">
        <w:rPr>
          <w:rFonts w:cs="Arial"/>
          <w:bCs/>
        </w:rPr>
        <w:t>slippage into 2019</w:t>
      </w:r>
      <w:r>
        <w:rPr>
          <w:rFonts w:cs="Arial"/>
          <w:bCs/>
        </w:rPr>
        <w:t>/20</w:t>
      </w:r>
      <w:r w:rsidR="007832B5">
        <w:rPr>
          <w:rFonts w:cs="Arial"/>
          <w:bCs/>
        </w:rPr>
        <w:t xml:space="preserve"> and (£</w:t>
      </w:r>
      <w:r w:rsidR="004C5F4C">
        <w:rPr>
          <w:rFonts w:cs="Arial"/>
          <w:bCs/>
        </w:rPr>
        <w:t>65.</w:t>
      </w:r>
      <w:r w:rsidR="00DE4C57">
        <w:rPr>
          <w:rFonts w:cs="Arial"/>
          <w:bCs/>
        </w:rPr>
        <w:t>2</w:t>
      </w:r>
      <w:r w:rsidR="004C5F4C">
        <w:rPr>
          <w:rFonts w:cs="Arial"/>
          <w:bCs/>
        </w:rPr>
        <w:t>01</w:t>
      </w:r>
      <w:r>
        <w:rPr>
          <w:rFonts w:cs="Arial"/>
          <w:bCs/>
        </w:rPr>
        <w:t>m) ca</w:t>
      </w:r>
      <w:r w:rsidR="007832B5">
        <w:rPr>
          <w:rFonts w:cs="Arial"/>
          <w:bCs/>
        </w:rPr>
        <w:t>n</w:t>
      </w:r>
      <w:r>
        <w:rPr>
          <w:rFonts w:cs="Arial"/>
          <w:bCs/>
        </w:rPr>
        <w:t xml:space="preserve"> be </w:t>
      </w:r>
      <w:r w:rsidRPr="00C21C0B">
        <w:rPr>
          <w:rFonts w:cs="Arial"/>
          <w:bCs/>
        </w:rPr>
        <w:t xml:space="preserve">removed from the </w:t>
      </w:r>
      <w:r w:rsidR="001645AA">
        <w:rPr>
          <w:rFonts w:cs="Arial"/>
          <w:bCs/>
        </w:rPr>
        <w:t>c</w:t>
      </w:r>
      <w:r w:rsidRPr="00C21C0B">
        <w:rPr>
          <w:rFonts w:cs="Arial"/>
          <w:bCs/>
        </w:rPr>
        <w:t xml:space="preserve">apital </w:t>
      </w:r>
      <w:r w:rsidR="001645AA">
        <w:rPr>
          <w:rFonts w:cs="Arial"/>
          <w:bCs/>
        </w:rPr>
        <w:t>p</w:t>
      </w:r>
      <w:r w:rsidRPr="00C21C0B">
        <w:rPr>
          <w:rFonts w:cs="Arial"/>
          <w:bCs/>
        </w:rPr>
        <w:t>rogramme</w:t>
      </w:r>
      <w:r>
        <w:rPr>
          <w:rFonts w:cs="Arial"/>
          <w:bCs/>
        </w:rPr>
        <w:t>.</w:t>
      </w:r>
    </w:p>
    <w:p w:rsidR="00C21C0B" w:rsidRPr="00C21C0B" w:rsidRDefault="00C21C0B" w:rsidP="00BC03D5">
      <w:pPr>
        <w:pStyle w:val="ListParagraph"/>
        <w:rPr>
          <w:rFonts w:cs="Arial"/>
        </w:rPr>
      </w:pPr>
    </w:p>
    <w:p w:rsidR="00C21C0B" w:rsidRPr="00C21C0B" w:rsidRDefault="00C21C0B" w:rsidP="00AA3B74">
      <w:pPr>
        <w:pStyle w:val="ListParagraph"/>
        <w:numPr>
          <w:ilvl w:val="0"/>
          <w:numId w:val="114"/>
        </w:numPr>
        <w:ind w:left="567" w:hanging="567"/>
        <w:jc w:val="both"/>
        <w:rPr>
          <w:rFonts w:cs="Arial"/>
        </w:rPr>
      </w:pPr>
      <w:r w:rsidRPr="00C21C0B">
        <w:rPr>
          <w:rFonts w:cs="Arial"/>
          <w:bCs/>
        </w:rPr>
        <w:t xml:space="preserve">The forecast variance on the Housing Revenue Account </w:t>
      </w:r>
      <w:r>
        <w:rPr>
          <w:rFonts w:cs="Arial"/>
          <w:bCs/>
        </w:rPr>
        <w:t>budget of £</w:t>
      </w:r>
      <w:r w:rsidR="00656C30">
        <w:rPr>
          <w:rFonts w:cs="Arial"/>
          <w:bCs/>
        </w:rPr>
        <w:t>21.339</w:t>
      </w:r>
      <w:r w:rsidRPr="00C21C0B">
        <w:rPr>
          <w:rFonts w:cs="Arial"/>
          <w:bCs/>
        </w:rPr>
        <w:t xml:space="preserve">m at </w:t>
      </w:r>
      <w:r w:rsidR="001F7015">
        <w:rPr>
          <w:rFonts w:cs="Arial"/>
          <w:bCs/>
        </w:rPr>
        <w:t>Q</w:t>
      </w:r>
      <w:r w:rsidRPr="00C21C0B">
        <w:rPr>
          <w:rFonts w:cs="Arial"/>
          <w:bCs/>
        </w:rPr>
        <w:t xml:space="preserve">uarter </w:t>
      </w:r>
      <w:r w:rsidR="00656C30">
        <w:rPr>
          <w:rFonts w:cs="Arial"/>
          <w:bCs/>
        </w:rPr>
        <w:t>2</w:t>
      </w:r>
      <w:r w:rsidR="007832B5">
        <w:rPr>
          <w:rFonts w:cs="Arial"/>
          <w:bCs/>
        </w:rPr>
        <w:t xml:space="preserve"> is a variance </w:t>
      </w:r>
      <w:r w:rsidRPr="00C21C0B">
        <w:rPr>
          <w:rFonts w:cs="Arial"/>
          <w:bCs/>
        </w:rPr>
        <w:t>of (£1</w:t>
      </w:r>
      <w:r w:rsidR="00656C30">
        <w:rPr>
          <w:rFonts w:cs="Arial"/>
          <w:bCs/>
        </w:rPr>
        <w:t>0.959</w:t>
      </w:r>
      <w:r w:rsidRPr="00C21C0B">
        <w:rPr>
          <w:rFonts w:cs="Arial"/>
          <w:bCs/>
        </w:rPr>
        <w:t>m)</w:t>
      </w:r>
      <w:r>
        <w:rPr>
          <w:rFonts w:cs="Arial"/>
          <w:bCs/>
        </w:rPr>
        <w:t>, of which £</w:t>
      </w:r>
      <w:r w:rsidR="00656C30">
        <w:rPr>
          <w:rFonts w:cs="Arial"/>
          <w:bCs/>
        </w:rPr>
        <w:t>6.965</w:t>
      </w:r>
      <w:r w:rsidRPr="00C21C0B">
        <w:rPr>
          <w:rFonts w:cs="Arial"/>
          <w:bCs/>
        </w:rPr>
        <w:t xml:space="preserve">m is </w:t>
      </w:r>
      <w:r w:rsidR="005A4DF8">
        <w:rPr>
          <w:rFonts w:cs="Arial"/>
          <w:bCs/>
        </w:rPr>
        <w:t xml:space="preserve">the </w:t>
      </w:r>
      <w:r>
        <w:rPr>
          <w:rFonts w:cs="Arial"/>
          <w:bCs/>
        </w:rPr>
        <w:t>slippage into 20</w:t>
      </w:r>
      <w:r w:rsidRPr="00C21C0B">
        <w:rPr>
          <w:rFonts w:cs="Arial"/>
          <w:bCs/>
        </w:rPr>
        <w:t>19</w:t>
      </w:r>
      <w:r>
        <w:rPr>
          <w:rFonts w:cs="Arial"/>
          <w:bCs/>
        </w:rPr>
        <w:t>/20</w:t>
      </w:r>
      <w:r w:rsidRPr="00C21C0B">
        <w:rPr>
          <w:rFonts w:cs="Arial"/>
          <w:bCs/>
        </w:rPr>
        <w:t xml:space="preserve"> and (</w:t>
      </w:r>
      <w:r w:rsidR="007832B5">
        <w:rPr>
          <w:rFonts w:cs="Arial"/>
          <w:bCs/>
        </w:rPr>
        <w:t>£</w:t>
      </w:r>
      <w:r w:rsidR="00656C30">
        <w:rPr>
          <w:rFonts w:cs="Arial"/>
          <w:bCs/>
        </w:rPr>
        <w:t>3.994</w:t>
      </w:r>
      <w:r w:rsidRPr="00C21C0B">
        <w:rPr>
          <w:rFonts w:cs="Arial"/>
          <w:bCs/>
        </w:rPr>
        <w:t xml:space="preserve">m) can be removed from the </w:t>
      </w:r>
      <w:r w:rsidR="001645AA">
        <w:rPr>
          <w:rFonts w:cs="Arial"/>
          <w:bCs/>
        </w:rPr>
        <w:t>c</w:t>
      </w:r>
      <w:r w:rsidRPr="00C21C0B">
        <w:rPr>
          <w:rFonts w:cs="Arial"/>
          <w:bCs/>
        </w:rPr>
        <w:t xml:space="preserve">apital </w:t>
      </w:r>
      <w:r w:rsidR="001645AA">
        <w:rPr>
          <w:rFonts w:cs="Arial"/>
          <w:bCs/>
        </w:rPr>
        <w:t>p</w:t>
      </w:r>
      <w:r w:rsidRPr="00C21C0B">
        <w:rPr>
          <w:rFonts w:cs="Arial"/>
          <w:bCs/>
        </w:rPr>
        <w:t>rogramme</w:t>
      </w:r>
      <w:r>
        <w:rPr>
          <w:rFonts w:cs="Arial"/>
          <w:bCs/>
        </w:rPr>
        <w:t>.</w:t>
      </w:r>
    </w:p>
    <w:p w:rsidR="00C21C0B" w:rsidRPr="00C21C0B" w:rsidRDefault="00C21C0B" w:rsidP="00BC03D5">
      <w:pPr>
        <w:pStyle w:val="ListParagraph"/>
        <w:rPr>
          <w:rFonts w:cs="Arial"/>
        </w:rPr>
      </w:pPr>
    </w:p>
    <w:p w:rsidR="009B4C8D" w:rsidRDefault="00C21C0B" w:rsidP="00063A62">
      <w:pPr>
        <w:rPr>
          <w:rFonts w:cs="Arial"/>
          <w:bCs/>
        </w:rPr>
      </w:pPr>
      <w:r w:rsidRPr="00494A18">
        <w:rPr>
          <w:rFonts w:cs="Arial"/>
          <w:bCs/>
        </w:rPr>
        <w:t>Tables 1</w:t>
      </w:r>
      <w:r w:rsidR="00DD6CE8" w:rsidRPr="00494A18">
        <w:rPr>
          <w:rFonts w:cs="Arial"/>
          <w:bCs/>
        </w:rPr>
        <w:t>1</w:t>
      </w:r>
      <w:r w:rsidRPr="00494A18">
        <w:rPr>
          <w:rFonts w:cs="Arial"/>
          <w:bCs/>
        </w:rPr>
        <w:t xml:space="preserve"> and 1</w:t>
      </w:r>
      <w:r w:rsidR="00DD6CE8" w:rsidRPr="00494A18">
        <w:rPr>
          <w:rFonts w:cs="Arial"/>
          <w:bCs/>
        </w:rPr>
        <w:t>2</w:t>
      </w:r>
      <w:r w:rsidRPr="00494A18">
        <w:rPr>
          <w:rFonts w:cs="Arial"/>
          <w:bCs/>
        </w:rPr>
        <w:t xml:space="preserve"> below summarise the capital forecast position and Appendix 4 shows the capital programme in more detail.</w:t>
      </w:r>
    </w:p>
    <w:p w:rsidR="00DE4C57" w:rsidRDefault="00DE4C57" w:rsidP="00063A62">
      <w:pPr>
        <w:rPr>
          <w:rFonts w:cs="Arial"/>
          <w:bCs/>
        </w:rPr>
      </w:pPr>
    </w:p>
    <w:p w:rsidR="00DE4C57" w:rsidRDefault="00DE4C57" w:rsidP="00063A62">
      <w:pPr>
        <w:rPr>
          <w:rFonts w:cs="Arial"/>
          <w:bCs/>
        </w:rPr>
      </w:pPr>
    </w:p>
    <w:p w:rsidR="00DE4C57" w:rsidRDefault="00DE4C57" w:rsidP="00063A62">
      <w:pPr>
        <w:rPr>
          <w:rFonts w:cs="Arial"/>
          <w:bCs/>
        </w:rPr>
      </w:pPr>
    </w:p>
    <w:p w:rsidR="00DE4C57" w:rsidRDefault="00DE4C57" w:rsidP="00063A62">
      <w:pPr>
        <w:rPr>
          <w:rFonts w:cs="Arial"/>
          <w:b/>
          <w:bCs/>
          <w:u w:val="single"/>
        </w:rPr>
      </w:pPr>
    </w:p>
    <w:p w:rsidR="00501CE4" w:rsidRPr="00063A62" w:rsidRDefault="00501CE4" w:rsidP="00063A62">
      <w:pPr>
        <w:rPr>
          <w:rFonts w:cs="Arial"/>
          <w:b/>
          <w:bCs/>
          <w:u w:val="single"/>
        </w:rPr>
      </w:pPr>
      <w:r w:rsidRPr="00063A62">
        <w:rPr>
          <w:rFonts w:cs="Arial"/>
          <w:b/>
          <w:bCs/>
          <w:u w:val="single"/>
        </w:rPr>
        <w:t>Table 1</w:t>
      </w:r>
      <w:r w:rsidR="00DD6CE8">
        <w:rPr>
          <w:rFonts w:cs="Arial"/>
          <w:b/>
          <w:bCs/>
          <w:u w:val="single"/>
        </w:rPr>
        <w:t>1</w:t>
      </w:r>
      <w:r w:rsidRPr="00063A62">
        <w:rPr>
          <w:rFonts w:cs="Arial"/>
          <w:b/>
          <w:bCs/>
          <w:u w:val="single"/>
        </w:rPr>
        <w:t xml:space="preserve">: Summary of Capital forecast by Directorate </w:t>
      </w:r>
    </w:p>
    <w:p w:rsidR="008D0C71" w:rsidRDefault="00DE4C57" w:rsidP="00063A62">
      <w:pPr>
        <w:pStyle w:val="ListParagraph"/>
        <w:ind w:left="0"/>
        <w:rPr>
          <w:rFonts w:cs="Arial"/>
        </w:rPr>
      </w:pPr>
      <w:r w:rsidRPr="00DE4C57">
        <w:rPr>
          <w:noProof/>
          <w:lang w:eastAsia="en-GB"/>
        </w:rPr>
        <w:drawing>
          <wp:inline distT="0" distB="0" distL="0" distR="0" wp14:anchorId="18A8F80A" wp14:editId="25404D5C">
            <wp:extent cx="6118502" cy="4486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035" cy="4488673"/>
                    </a:xfrm>
                    <a:prstGeom prst="rect">
                      <a:avLst/>
                    </a:prstGeom>
                    <a:noFill/>
                    <a:ln>
                      <a:noFill/>
                    </a:ln>
                  </pic:spPr>
                </pic:pic>
              </a:graphicData>
            </a:graphic>
          </wp:inline>
        </w:drawing>
      </w:r>
    </w:p>
    <w:p w:rsidR="00174457" w:rsidRDefault="00174457" w:rsidP="00063A62">
      <w:pPr>
        <w:pStyle w:val="ListParagraph"/>
        <w:ind w:left="0"/>
        <w:rPr>
          <w:rFonts w:cs="Arial"/>
        </w:rPr>
      </w:pPr>
    </w:p>
    <w:p w:rsidR="00BF324E" w:rsidRDefault="00BF324E" w:rsidP="00063A62">
      <w:pPr>
        <w:rPr>
          <w:rFonts w:cs="Arial"/>
          <w:b/>
          <w:u w:val="single"/>
        </w:rPr>
      </w:pPr>
    </w:p>
    <w:p w:rsidR="00D230AF" w:rsidRPr="00045172" w:rsidDel="006A5D06" w:rsidRDefault="00CC79C4">
      <w:pPr>
        <w:rPr>
          <w:rFonts w:cs="Arial"/>
        </w:rPr>
      </w:pPr>
      <w:r w:rsidRPr="00BC03D5">
        <w:rPr>
          <w:rFonts w:cs="Arial"/>
          <w:b/>
          <w:u w:val="single"/>
        </w:rPr>
        <w:t>Table 1</w:t>
      </w:r>
      <w:r w:rsidR="00DD6CE8">
        <w:rPr>
          <w:rFonts w:cs="Arial"/>
          <w:b/>
          <w:u w:val="single"/>
        </w:rPr>
        <w:t>2</w:t>
      </w:r>
      <w:r w:rsidR="00126F8B" w:rsidRPr="00BC03D5">
        <w:rPr>
          <w:rFonts w:cs="Arial"/>
          <w:b/>
          <w:u w:val="single"/>
        </w:rPr>
        <w:t>:</w:t>
      </w:r>
      <w:r w:rsidRPr="00BC03D5">
        <w:rPr>
          <w:rFonts w:cs="Arial"/>
          <w:b/>
          <w:u w:val="single"/>
        </w:rPr>
        <w:t xml:space="preserve"> Analysis of Forecast Outturn Variance</w:t>
      </w:r>
    </w:p>
    <w:p w:rsidR="001E01E7" w:rsidRPr="00045172" w:rsidRDefault="002A5ECB" w:rsidP="00063A62">
      <w:pPr>
        <w:rPr>
          <w:rFonts w:cs="Arial"/>
        </w:rPr>
      </w:pPr>
      <w:r w:rsidRPr="002A5ECB">
        <w:rPr>
          <w:noProof/>
          <w:lang w:eastAsia="en-GB"/>
        </w:rPr>
        <w:drawing>
          <wp:inline distT="0" distB="0" distL="0" distR="0" wp14:anchorId="2EE47EF7" wp14:editId="0EE79A95">
            <wp:extent cx="6122035" cy="4039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035" cy="4039045"/>
                    </a:xfrm>
                    <a:prstGeom prst="rect">
                      <a:avLst/>
                    </a:prstGeom>
                    <a:noFill/>
                    <a:ln>
                      <a:noFill/>
                    </a:ln>
                  </pic:spPr>
                </pic:pic>
              </a:graphicData>
            </a:graphic>
          </wp:inline>
        </w:drawing>
      </w:r>
      <w:r w:rsidR="004D1B4F">
        <w:rPr>
          <w:rFonts w:cs="Arial"/>
        </w:rPr>
        <w:tab/>
      </w:r>
    </w:p>
    <w:p w:rsidR="00CC79C4" w:rsidRPr="00CC79C4" w:rsidRDefault="00CC79C4" w:rsidP="008C337C">
      <w:pPr>
        <w:rPr>
          <w:rFonts w:cs="Arial"/>
          <w:b/>
          <w:u w:val="single"/>
        </w:rPr>
      </w:pPr>
      <w:r w:rsidRPr="00CC79C4">
        <w:rPr>
          <w:rFonts w:cs="Arial"/>
          <w:b/>
          <w:u w:val="single"/>
        </w:rPr>
        <w:t>RESOURCES DIRECTORATE</w:t>
      </w:r>
    </w:p>
    <w:p w:rsidR="00CC79C4" w:rsidRPr="00CC79C4" w:rsidRDefault="00CC79C4" w:rsidP="00BC03D5">
      <w:pPr>
        <w:pStyle w:val="ListParagraph"/>
        <w:ind w:left="567"/>
        <w:jc w:val="both"/>
        <w:rPr>
          <w:rFonts w:cs="Arial"/>
        </w:rPr>
      </w:pPr>
    </w:p>
    <w:p w:rsidR="00CC46F2" w:rsidRPr="008C337C" w:rsidRDefault="00CC79C4">
      <w:pPr>
        <w:pStyle w:val="ListParagraph"/>
        <w:numPr>
          <w:ilvl w:val="0"/>
          <w:numId w:val="114"/>
        </w:numPr>
        <w:spacing w:after="120"/>
        <w:ind w:left="567" w:hanging="567"/>
        <w:jc w:val="both"/>
        <w:rPr>
          <w:b/>
          <w:bCs/>
          <w:u w:val="single"/>
          <w:lang w:val="en-US"/>
        </w:rPr>
      </w:pPr>
      <w:r w:rsidRPr="00D25974">
        <w:rPr>
          <w:rFonts w:cs="Arial"/>
          <w:bCs/>
          <w:szCs w:val="24"/>
        </w:rPr>
        <w:t xml:space="preserve">As at Quarter </w:t>
      </w:r>
      <w:r w:rsidR="00CC46F2">
        <w:rPr>
          <w:rFonts w:cs="Arial"/>
          <w:bCs/>
          <w:szCs w:val="24"/>
        </w:rPr>
        <w:t>2</w:t>
      </w:r>
      <w:r w:rsidRPr="00D25974">
        <w:rPr>
          <w:rFonts w:cs="Arial"/>
          <w:bCs/>
          <w:szCs w:val="24"/>
        </w:rPr>
        <w:t xml:space="preserve"> the Resources Directorate is forecasting overall spend of £</w:t>
      </w:r>
      <w:r w:rsidR="00463577">
        <w:rPr>
          <w:rFonts w:cs="Arial"/>
          <w:bCs/>
          <w:szCs w:val="24"/>
        </w:rPr>
        <w:t>17.018</w:t>
      </w:r>
      <w:r w:rsidRPr="00D25974">
        <w:rPr>
          <w:rFonts w:cs="Arial"/>
          <w:bCs/>
          <w:szCs w:val="24"/>
        </w:rPr>
        <w:t xml:space="preserve">m, which is </w:t>
      </w:r>
      <w:r w:rsidR="00CC46F2">
        <w:rPr>
          <w:rFonts w:cs="Arial"/>
          <w:bCs/>
          <w:szCs w:val="24"/>
        </w:rPr>
        <w:t>84</w:t>
      </w:r>
      <w:r w:rsidRPr="00D25974">
        <w:rPr>
          <w:rFonts w:cs="Arial"/>
          <w:bCs/>
          <w:szCs w:val="24"/>
        </w:rPr>
        <w:t>% of the approved £</w:t>
      </w:r>
      <w:r w:rsidR="00463577">
        <w:rPr>
          <w:rFonts w:cs="Arial"/>
          <w:bCs/>
          <w:szCs w:val="24"/>
        </w:rPr>
        <w:t>20.479</w:t>
      </w:r>
      <w:r w:rsidRPr="00D25974">
        <w:rPr>
          <w:rFonts w:cs="Arial"/>
          <w:bCs/>
          <w:szCs w:val="24"/>
        </w:rPr>
        <w:t>m capital budget in 2018/1</w:t>
      </w:r>
      <w:r w:rsidR="00CC46F2">
        <w:rPr>
          <w:rFonts w:cs="Arial"/>
          <w:bCs/>
          <w:szCs w:val="24"/>
        </w:rPr>
        <w:t>9.</w:t>
      </w:r>
    </w:p>
    <w:p w:rsidR="00B71EEF" w:rsidRPr="008C337C" w:rsidRDefault="00B71EEF" w:rsidP="008C337C">
      <w:pPr>
        <w:pStyle w:val="ListParagraph"/>
        <w:spacing w:after="120"/>
        <w:ind w:left="567"/>
        <w:jc w:val="both"/>
        <w:rPr>
          <w:b/>
          <w:bCs/>
          <w:u w:val="single"/>
          <w:lang w:val="en-US"/>
        </w:rPr>
      </w:pPr>
    </w:p>
    <w:p w:rsidR="00CC2347" w:rsidRPr="008C337C" w:rsidRDefault="000C78C0">
      <w:pPr>
        <w:pStyle w:val="ListParagraph"/>
        <w:numPr>
          <w:ilvl w:val="0"/>
          <w:numId w:val="114"/>
        </w:numPr>
        <w:spacing w:after="120"/>
        <w:ind w:left="567" w:hanging="567"/>
        <w:jc w:val="both"/>
        <w:rPr>
          <w:b/>
          <w:bCs/>
          <w:u w:val="single"/>
          <w:lang w:val="en-US"/>
        </w:rPr>
      </w:pPr>
      <w:r>
        <w:rPr>
          <w:rFonts w:cs="Arial"/>
          <w:bCs/>
          <w:szCs w:val="24"/>
        </w:rPr>
        <w:t xml:space="preserve">The forecast variance </w:t>
      </w:r>
      <w:r w:rsidR="000B74B6">
        <w:rPr>
          <w:rFonts w:cs="Arial"/>
          <w:bCs/>
          <w:szCs w:val="24"/>
        </w:rPr>
        <w:t xml:space="preserve">of </w:t>
      </w:r>
      <w:r w:rsidR="000B74B6" w:rsidRPr="008C337C">
        <w:rPr>
          <w:rFonts w:cs="Arial"/>
          <w:b/>
          <w:bCs/>
          <w:szCs w:val="24"/>
        </w:rPr>
        <w:t>(</w:t>
      </w:r>
      <w:r w:rsidRPr="008C337C">
        <w:rPr>
          <w:rFonts w:cs="Arial"/>
          <w:b/>
          <w:bCs/>
          <w:szCs w:val="24"/>
        </w:rPr>
        <w:t>£</w:t>
      </w:r>
      <w:r w:rsidR="00463577" w:rsidRPr="008C337C">
        <w:rPr>
          <w:rFonts w:cs="Arial"/>
          <w:b/>
          <w:bCs/>
          <w:szCs w:val="24"/>
        </w:rPr>
        <w:t>3.461</w:t>
      </w:r>
      <w:r w:rsidRPr="008C337C">
        <w:rPr>
          <w:rFonts w:cs="Arial"/>
          <w:b/>
          <w:bCs/>
          <w:szCs w:val="24"/>
        </w:rPr>
        <w:t>m)</w:t>
      </w:r>
      <w:r>
        <w:rPr>
          <w:rFonts w:cs="Arial"/>
          <w:bCs/>
          <w:szCs w:val="24"/>
        </w:rPr>
        <w:t xml:space="preserve"> </w:t>
      </w:r>
      <w:r w:rsidR="005A4DF8">
        <w:rPr>
          <w:rFonts w:cs="Arial"/>
          <w:bCs/>
          <w:szCs w:val="24"/>
        </w:rPr>
        <w:t>is the slippage in</w:t>
      </w:r>
      <w:r w:rsidR="00CC2347">
        <w:rPr>
          <w:rFonts w:cs="Arial"/>
          <w:bCs/>
          <w:szCs w:val="24"/>
        </w:rPr>
        <w:t>to 2018/19 as detailed below</w:t>
      </w:r>
      <w:r w:rsidR="000B74B6">
        <w:rPr>
          <w:rFonts w:cs="Arial"/>
          <w:bCs/>
          <w:szCs w:val="24"/>
        </w:rPr>
        <w:t xml:space="preserve">. There </w:t>
      </w:r>
      <w:r w:rsidR="00484AC4">
        <w:rPr>
          <w:rFonts w:cs="Arial"/>
          <w:bCs/>
          <w:szCs w:val="24"/>
        </w:rPr>
        <w:t>are no revenue implications</w:t>
      </w:r>
      <w:r w:rsidR="001E681E">
        <w:rPr>
          <w:rFonts w:cs="Arial"/>
          <w:bCs/>
          <w:szCs w:val="24"/>
        </w:rPr>
        <w:t xml:space="preserve"> as a result of this</w:t>
      </w:r>
      <w:r w:rsidR="000B74B6">
        <w:rPr>
          <w:rFonts w:cs="Arial"/>
          <w:bCs/>
          <w:szCs w:val="24"/>
        </w:rPr>
        <w:t xml:space="preserve"> slippage.</w:t>
      </w:r>
    </w:p>
    <w:p w:rsidR="00B71EEF" w:rsidRPr="008C337C" w:rsidRDefault="00B71EEF" w:rsidP="008C337C">
      <w:pPr>
        <w:pStyle w:val="ListParagraph"/>
        <w:jc w:val="both"/>
        <w:rPr>
          <w:b/>
          <w:bCs/>
          <w:u w:val="single"/>
          <w:lang w:val="en-US"/>
        </w:rPr>
      </w:pPr>
    </w:p>
    <w:p w:rsidR="009D5D5E" w:rsidRDefault="009D5D5E" w:rsidP="008C337C">
      <w:pPr>
        <w:pStyle w:val="ListParagraph"/>
        <w:numPr>
          <w:ilvl w:val="0"/>
          <w:numId w:val="114"/>
        </w:numPr>
        <w:ind w:left="567" w:hanging="567"/>
        <w:jc w:val="both"/>
        <w:rPr>
          <w:bCs/>
          <w:lang w:val="en-US"/>
        </w:rPr>
      </w:pPr>
      <w:r w:rsidRPr="009D5D5E">
        <w:rPr>
          <w:bCs/>
          <w:lang w:val="en-US"/>
        </w:rPr>
        <w:t xml:space="preserve">Devolved applications slippage of </w:t>
      </w:r>
      <w:r w:rsidRPr="008C337C">
        <w:rPr>
          <w:b/>
          <w:bCs/>
          <w:lang w:val="en-US"/>
        </w:rPr>
        <w:t>£1.43</w:t>
      </w:r>
      <w:r w:rsidR="00D76D65" w:rsidRPr="008C337C">
        <w:rPr>
          <w:b/>
          <w:bCs/>
          <w:lang w:val="en-US"/>
        </w:rPr>
        <w:t>8</w:t>
      </w:r>
      <w:r w:rsidRPr="008C337C">
        <w:rPr>
          <w:b/>
          <w:bCs/>
          <w:lang w:val="en-US"/>
        </w:rPr>
        <w:t>m</w:t>
      </w:r>
      <w:r w:rsidR="000B74B6">
        <w:rPr>
          <w:bCs/>
          <w:lang w:val="en-US"/>
        </w:rPr>
        <w:t xml:space="preserve"> -</w:t>
      </w:r>
      <w:r w:rsidRPr="009D5D5E">
        <w:rPr>
          <w:bCs/>
          <w:lang w:val="en-US"/>
        </w:rPr>
        <w:t xml:space="preserve"> </w:t>
      </w:r>
      <w:r w:rsidR="000B74B6">
        <w:rPr>
          <w:bCs/>
          <w:lang w:val="en-US"/>
        </w:rPr>
        <w:t>T</w:t>
      </w:r>
      <w:r w:rsidRPr="009D5D5E">
        <w:rPr>
          <w:bCs/>
          <w:lang w:val="en-US"/>
        </w:rPr>
        <w:t xml:space="preserve">he expenditure has been re-profiled to better </w:t>
      </w:r>
      <w:r w:rsidR="000B74B6" w:rsidRPr="009D5D5E">
        <w:rPr>
          <w:bCs/>
          <w:lang w:val="en-US"/>
        </w:rPr>
        <w:t>reflect</w:t>
      </w:r>
      <w:r w:rsidRPr="009D5D5E">
        <w:rPr>
          <w:bCs/>
          <w:lang w:val="en-US"/>
        </w:rPr>
        <w:t xml:space="preserve"> milestone delivery. The bulk of the work will be delivered in 2019/20</w:t>
      </w:r>
      <w:r w:rsidR="000B74B6">
        <w:rPr>
          <w:bCs/>
          <w:lang w:val="en-US"/>
        </w:rPr>
        <w:t>.</w:t>
      </w:r>
      <w:r w:rsidRPr="009D5D5E">
        <w:rPr>
          <w:bCs/>
          <w:lang w:val="en-US"/>
        </w:rPr>
        <w:t xml:space="preserve"> </w:t>
      </w:r>
    </w:p>
    <w:p w:rsidR="000B74B6" w:rsidRPr="00A51B2C" w:rsidRDefault="000B74B6" w:rsidP="008C337C">
      <w:pPr>
        <w:pStyle w:val="ListParagraph"/>
        <w:jc w:val="both"/>
        <w:rPr>
          <w:bCs/>
          <w:lang w:val="en-US"/>
        </w:rPr>
      </w:pPr>
    </w:p>
    <w:p w:rsidR="000B74B6" w:rsidRPr="008C337C" w:rsidRDefault="000B74B6" w:rsidP="008C337C">
      <w:pPr>
        <w:pStyle w:val="ListParagraph"/>
        <w:numPr>
          <w:ilvl w:val="0"/>
          <w:numId w:val="114"/>
        </w:numPr>
        <w:ind w:left="567" w:hanging="567"/>
        <w:jc w:val="both"/>
        <w:rPr>
          <w:bCs/>
          <w:lang w:val="en-US"/>
        </w:rPr>
      </w:pPr>
      <w:r w:rsidRPr="000B74B6">
        <w:rPr>
          <w:bCs/>
        </w:rPr>
        <w:t xml:space="preserve">Ongoing refresh &amp; enhancement of ICT </w:t>
      </w:r>
      <w:r w:rsidR="00CB44B6" w:rsidRPr="000B74B6">
        <w:rPr>
          <w:bCs/>
        </w:rPr>
        <w:t xml:space="preserve">schemes </w:t>
      </w:r>
      <w:r w:rsidR="00CB44B6">
        <w:rPr>
          <w:bCs/>
        </w:rPr>
        <w:t>of</w:t>
      </w:r>
      <w:r w:rsidR="00463577">
        <w:rPr>
          <w:bCs/>
        </w:rPr>
        <w:t xml:space="preserve"> </w:t>
      </w:r>
      <w:r w:rsidRPr="008C337C">
        <w:rPr>
          <w:b/>
          <w:bCs/>
        </w:rPr>
        <w:t>£0.905m</w:t>
      </w:r>
      <w:r w:rsidRPr="000B74B6">
        <w:rPr>
          <w:bCs/>
        </w:rPr>
        <w:t>. The expenditure has been re-profiled to reflect delays in commissioning the piece of work through 2018/19. The project must be delivered by 2020. There is minimal impact on the revenue budget as licences will still be required in 2018/19</w:t>
      </w:r>
      <w:r>
        <w:rPr>
          <w:bCs/>
        </w:rPr>
        <w:t>.</w:t>
      </w:r>
    </w:p>
    <w:p w:rsidR="000B74B6" w:rsidRPr="00A51B2C" w:rsidRDefault="000B74B6" w:rsidP="008C337C">
      <w:pPr>
        <w:pStyle w:val="ListParagraph"/>
        <w:jc w:val="both"/>
        <w:rPr>
          <w:bCs/>
          <w:lang w:val="en-US"/>
        </w:rPr>
      </w:pPr>
    </w:p>
    <w:p w:rsidR="000B74B6" w:rsidRPr="008C337C" w:rsidRDefault="000B74B6" w:rsidP="008C337C">
      <w:pPr>
        <w:pStyle w:val="ListParagraph"/>
        <w:numPr>
          <w:ilvl w:val="0"/>
          <w:numId w:val="114"/>
        </w:numPr>
        <w:ind w:left="567" w:hanging="567"/>
        <w:jc w:val="both"/>
        <w:rPr>
          <w:bCs/>
          <w:lang w:val="en-US"/>
        </w:rPr>
      </w:pPr>
      <w:r w:rsidRPr="000B74B6">
        <w:rPr>
          <w:bCs/>
        </w:rPr>
        <w:t>SAP Financial Leger</w:t>
      </w:r>
      <w:r>
        <w:rPr>
          <w:bCs/>
        </w:rPr>
        <w:t xml:space="preserve"> </w:t>
      </w:r>
      <w:r w:rsidRPr="000B74B6">
        <w:rPr>
          <w:bCs/>
        </w:rPr>
        <w:t>projects</w:t>
      </w:r>
      <w:r>
        <w:rPr>
          <w:bCs/>
        </w:rPr>
        <w:t xml:space="preserve"> - </w:t>
      </w:r>
      <w:r w:rsidRPr="008C337C">
        <w:rPr>
          <w:b/>
          <w:bCs/>
        </w:rPr>
        <w:t>£0.554m</w:t>
      </w:r>
      <w:r>
        <w:rPr>
          <w:bCs/>
        </w:rPr>
        <w:t xml:space="preserve"> will be slipped to 2019/20</w:t>
      </w:r>
      <w:r w:rsidRPr="000B74B6">
        <w:rPr>
          <w:bCs/>
        </w:rPr>
        <w:t xml:space="preserve"> pending decisions in relation to individual projects</w:t>
      </w:r>
      <w:r>
        <w:rPr>
          <w:bCs/>
        </w:rPr>
        <w:t>.</w:t>
      </w:r>
    </w:p>
    <w:p w:rsidR="00D76D65" w:rsidRPr="000C5533" w:rsidRDefault="00D76D65" w:rsidP="008C337C">
      <w:pPr>
        <w:pStyle w:val="ListParagraph"/>
        <w:jc w:val="both"/>
        <w:rPr>
          <w:bCs/>
          <w:lang w:val="en-US"/>
        </w:rPr>
      </w:pPr>
    </w:p>
    <w:p w:rsidR="00D76D65" w:rsidRPr="008C337C" w:rsidRDefault="00D76D65" w:rsidP="008C337C">
      <w:pPr>
        <w:pStyle w:val="ListParagraph"/>
        <w:numPr>
          <w:ilvl w:val="0"/>
          <w:numId w:val="114"/>
        </w:numPr>
        <w:ind w:left="567" w:hanging="567"/>
        <w:jc w:val="both"/>
        <w:rPr>
          <w:bCs/>
          <w:lang w:val="en-US"/>
        </w:rPr>
      </w:pPr>
      <w:r>
        <w:rPr>
          <w:bCs/>
        </w:rPr>
        <w:t xml:space="preserve">Other </w:t>
      </w:r>
      <w:r w:rsidRPr="00D76D65">
        <w:rPr>
          <w:bCs/>
        </w:rPr>
        <w:t xml:space="preserve">projects including </w:t>
      </w:r>
      <w:r w:rsidR="00024DD4">
        <w:rPr>
          <w:bCs/>
        </w:rPr>
        <w:t xml:space="preserve">the </w:t>
      </w:r>
      <w:r w:rsidRPr="00D76D65">
        <w:rPr>
          <w:bCs/>
        </w:rPr>
        <w:t xml:space="preserve">ABAVUS system and Human Resources system of </w:t>
      </w:r>
      <w:r w:rsidRPr="00D76D65">
        <w:rPr>
          <w:b/>
          <w:bCs/>
        </w:rPr>
        <w:t>£0.564m</w:t>
      </w:r>
      <w:r w:rsidRPr="00D76D65">
        <w:rPr>
          <w:bCs/>
        </w:rPr>
        <w:t xml:space="preserve"> will be slipped to 2019/20</w:t>
      </w:r>
      <w:r>
        <w:rPr>
          <w:bCs/>
        </w:rPr>
        <w:t>.</w:t>
      </w:r>
    </w:p>
    <w:p w:rsidR="000B74B6" w:rsidRPr="00A51B2C" w:rsidRDefault="000B74B6" w:rsidP="008C337C">
      <w:pPr>
        <w:pStyle w:val="ListParagraph"/>
        <w:rPr>
          <w:bCs/>
          <w:lang w:val="en-US"/>
        </w:rPr>
      </w:pPr>
    </w:p>
    <w:p w:rsidR="00974E77" w:rsidRDefault="00974E77" w:rsidP="00BC03D5">
      <w:pPr>
        <w:pStyle w:val="ListParagraph"/>
        <w:spacing w:after="120"/>
        <w:ind w:left="567"/>
        <w:jc w:val="both"/>
        <w:rPr>
          <w:bCs/>
        </w:rPr>
      </w:pPr>
    </w:p>
    <w:p w:rsidR="007A5672" w:rsidRDefault="007A5672" w:rsidP="00BC03D5">
      <w:pPr>
        <w:pStyle w:val="ListParagraph"/>
        <w:spacing w:after="120"/>
        <w:ind w:left="567"/>
        <w:jc w:val="both"/>
        <w:rPr>
          <w:b/>
          <w:bCs/>
          <w:u w:val="single"/>
          <w:lang w:val="en-US"/>
        </w:rPr>
      </w:pPr>
      <w:r w:rsidRPr="00E4422D">
        <w:rPr>
          <w:b/>
          <w:bCs/>
          <w:u w:val="single"/>
          <w:lang w:val="en-US"/>
        </w:rPr>
        <w:t>COMMUNITY DI</w:t>
      </w:r>
      <w:r w:rsidR="00663391">
        <w:rPr>
          <w:b/>
          <w:bCs/>
          <w:u w:val="single"/>
          <w:lang w:val="en-US"/>
        </w:rPr>
        <w:t>R</w:t>
      </w:r>
      <w:r w:rsidRPr="00E4422D">
        <w:rPr>
          <w:b/>
          <w:bCs/>
          <w:u w:val="single"/>
          <w:lang w:val="en-US"/>
        </w:rPr>
        <w:t>ECTORATE</w:t>
      </w:r>
    </w:p>
    <w:p w:rsidR="007A5672" w:rsidRPr="00E4422D" w:rsidRDefault="007A5672" w:rsidP="00BC03D5">
      <w:pPr>
        <w:pStyle w:val="ListParagraph"/>
        <w:spacing w:after="120"/>
        <w:ind w:left="567"/>
        <w:jc w:val="both"/>
        <w:rPr>
          <w:b/>
          <w:bCs/>
          <w:u w:val="single"/>
        </w:rPr>
      </w:pPr>
    </w:p>
    <w:p w:rsidR="00CC79C4" w:rsidRPr="007A5672" w:rsidRDefault="007A5672" w:rsidP="00D32FE5">
      <w:pPr>
        <w:pStyle w:val="ListParagraph"/>
        <w:numPr>
          <w:ilvl w:val="0"/>
          <w:numId w:val="114"/>
        </w:numPr>
        <w:ind w:left="567" w:hanging="567"/>
        <w:jc w:val="both"/>
        <w:rPr>
          <w:rFonts w:cs="Arial"/>
        </w:rPr>
      </w:pPr>
      <w:r w:rsidRPr="007A5672">
        <w:rPr>
          <w:rFonts w:cs="Arial"/>
          <w:bCs/>
        </w:rPr>
        <w:t xml:space="preserve">As at Quarter </w:t>
      </w:r>
      <w:r w:rsidR="004003C3">
        <w:rPr>
          <w:rFonts w:cs="Arial"/>
          <w:bCs/>
        </w:rPr>
        <w:t>2</w:t>
      </w:r>
      <w:r>
        <w:rPr>
          <w:rFonts w:cs="Arial"/>
          <w:bCs/>
        </w:rPr>
        <w:t xml:space="preserve"> the forecast is £</w:t>
      </w:r>
      <w:r w:rsidR="002C1C65">
        <w:rPr>
          <w:rFonts w:cs="Arial"/>
          <w:bCs/>
        </w:rPr>
        <w:t>54.333</w:t>
      </w:r>
      <w:r w:rsidRPr="007A5672">
        <w:rPr>
          <w:rFonts w:cs="Arial"/>
          <w:bCs/>
        </w:rPr>
        <w:t xml:space="preserve">m, </w:t>
      </w:r>
      <w:r w:rsidR="002C1C65">
        <w:rPr>
          <w:rFonts w:cs="Arial"/>
          <w:bCs/>
        </w:rPr>
        <w:t>37</w:t>
      </w:r>
      <w:r w:rsidRPr="007A5672">
        <w:rPr>
          <w:rFonts w:cs="Arial"/>
          <w:bCs/>
        </w:rPr>
        <w:t>% of the total budget</w:t>
      </w:r>
      <w:r>
        <w:rPr>
          <w:rFonts w:cs="Arial"/>
          <w:bCs/>
        </w:rPr>
        <w:t>.</w:t>
      </w:r>
    </w:p>
    <w:p w:rsidR="007A5672" w:rsidRPr="007A5672" w:rsidRDefault="007A5672" w:rsidP="00BC03D5">
      <w:pPr>
        <w:pStyle w:val="ListParagraph"/>
        <w:ind w:left="567"/>
        <w:jc w:val="both"/>
        <w:rPr>
          <w:rFonts w:cs="Arial"/>
        </w:rPr>
      </w:pPr>
    </w:p>
    <w:p w:rsidR="007A5672" w:rsidRPr="00501204" w:rsidRDefault="007A5672" w:rsidP="00D32FE5">
      <w:pPr>
        <w:pStyle w:val="ListParagraph"/>
        <w:numPr>
          <w:ilvl w:val="0"/>
          <w:numId w:val="114"/>
        </w:numPr>
        <w:ind w:left="567" w:hanging="567"/>
        <w:jc w:val="both"/>
        <w:rPr>
          <w:rFonts w:cs="Arial"/>
        </w:rPr>
      </w:pPr>
      <w:r w:rsidRPr="007A5672">
        <w:rPr>
          <w:rFonts w:cs="Arial"/>
          <w:bCs/>
        </w:rPr>
        <w:t>The forecast variance is (</w:t>
      </w:r>
      <w:r w:rsidR="00DB5420">
        <w:rPr>
          <w:rFonts w:cs="Arial"/>
          <w:bCs/>
        </w:rPr>
        <w:t>£</w:t>
      </w:r>
      <w:r w:rsidR="00CD2C62">
        <w:rPr>
          <w:rFonts w:cs="Arial"/>
          <w:bCs/>
        </w:rPr>
        <w:t>92.856</w:t>
      </w:r>
      <w:r w:rsidRPr="007A5672">
        <w:rPr>
          <w:rFonts w:cs="Arial"/>
          <w:bCs/>
        </w:rPr>
        <w:t>m) of which £</w:t>
      </w:r>
      <w:r w:rsidR="002C1C65">
        <w:rPr>
          <w:rFonts w:cs="Arial"/>
          <w:bCs/>
        </w:rPr>
        <w:t>82.025</w:t>
      </w:r>
      <w:r w:rsidR="00501204">
        <w:rPr>
          <w:rFonts w:cs="Arial"/>
          <w:bCs/>
        </w:rPr>
        <w:t>m will be slipped to 20</w:t>
      </w:r>
      <w:r w:rsidRPr="007A5672">
        <w:rPr>
          <w:rFonts w:cs="Arial"/>
          <w:bCs/>
        </w:rPr>
        <w:t>19</w:t>
      </w:r>
      <w:r w:rsidR="00501204">
        <w:rPr>
          <w:rFonts w:cs="Arial"/>
          <w:bCs/>
        </w:rPr>
        <w:t xml:space="preserve">/20 </w:t>
      </w:r>
      <w:r w:rsidRPr="007A5672">
        <w:rPr>
          <w:rFonts w:cs="Arial"/>
          <w:bCs/>
        </w:rPr>
        <w:t>and £</w:t>
      </w:r>
      <w:r w:rsidR="004003C3">
        <w:rPr>
          <w:rFonts w:cs="Arial"/>
          <w:bCs/>
        </w:rPr>
        <w:t>1</w:t>
      </w:r>
      <w:r w:rsidRPr="007A5672">
        <w:rPr>
          <w:rFonts w:cs="Arial"/>
          <w:bCs/>
        </w:rPr>
        <w:t>0.</w:t>
      </w:r>
      <w:r w:rsidR="002C1C65">
        <w:rPr>
          <w:rFonts w:cs="Arial"/>
          <w:bCs/>
        </w:rPr>
        <w:t>832</w:t>
      </w:r>
      <w:r w:rsidRPr="007A5672">
        <w:rPr>
          <w:rFonts w:cs="Arial"/>
          <w:bCs/>
        </w:rPr>
        <w:t xml:space="preserve">m </w:t>
      </w:r>
      <w:r w:rsidR="00501204">
        <w:rPr>
          <w:rFonts w:cs="Arial"/>
          <w:bCs/>
        </w:rPr>
        <w:t>can be removed from the capital programme.</w:t>
      </w:r>
      <w:r w:rsidRPr="007A5672">
        <w:rPr>
          <w:rFonts w:cs="Arial"/>
          <w:bCs/>
        </w:rPr>
        <w:t xml:space="preserve"> The main items of slippage and underspend are detailed below</w:t>
      </w:r>
      <w:r w:rsidR="00AC6651">
        <w:rPr>
          <w:rFonts w:cs="Arial"/>
          <w:bCs/>
        </w:rPr>
        <w:t>:</w:t>
      </w:r>
    </w:p>
    <w:p w:rsidR="001378D4" w:rsidRPr="003F7807" w:rsidRDefault="001378D4" w:rsidP="001378D4">
      <w:pPr>
        <w:autoSpaceDE w:val="0"/>
        <w:autoSpaceDN w:val="0"/>
        <w:adjustRightInd w:val="0"/>
        <w:spacing w:before="360" w:after="120"/>
        <w:ind w:left="709"/>
        <w:rPr>
          <w:b/>
        </w:rPr>
      </w:pPr>
      <w:r w:rsidRPr="003F7807">
        <w:rPr>
          <w:b/>
        </w:rPr>
        <w:t xml:space="preserve"> Environment</w:t>
      </w:r>
      <w:r w:rsidR="00F70EFE">
        <w:rPr>
          <w:b/>
        </w:rPr>
        <w:t xml:space="preserve"> and Commissioning </w:t>
      </w:r>
    </w:p>
    <w:p w:rsidR="00501204" w:rsidRPr="008C337C" w:rsidRDefault="001378D4" w:rsidP="00D32FE5">
      <w:pPr>
        <w:pStyle w:val="ListParagraph"/>
        <w:numPr>
          <w:ilvl w:val="0"/>
          <w:numId w:val="114"/>
        </w:numPr>
        <w:ind w:left="567" w:hanging="567"/>
        <w:jc w:val="both"/>
        <w:rPr>
          <w:rFonts w:cs="Arial"/>
        </w:rPr>
      </w:pPr>
      <w:r w:rsidRPr="003F7807">
        <w:rPr>
          <w:rFonts w:cs="Arial"/>
          <w:bCs/>
        </w:rPr>
        <w:t xml:space="preserve">At Quarter </w:t>
      </w:r>
      <w:r w:rsidR="004003C3" w:rsidRPr="008C337C">
        <w:rPr>
          <w:rFonts w:cs="Arial"/>
          <w:bCs/>
        </w:rPr>
        <w:t>2</w:t>
      </w:r>
      <w:r w:rsidRPr="003F7807">
        <w:rPr>
          <w:rFonts w:cs="Arial"/>
          <w:bCs/>
        </w:rPr>
        <w:t>, the service is forecasting to spend £</w:t>
      </w:r>
      <w:r w:rsidR="00CD2C62">
        <w:rPr>
          <w:rFonts w:cs="Arial"/>
          <w:bCs/>
        </w:rPr>
        <w:t>4</w:t>
      </w:r>
      <w:r w:rsidR="00F70EFE">
        <w:rPr>
          <w:rFonts w:cs="Arial"/>
          <w:bCs/>
        </w:rPr>
        <w:t>2.185</w:t>
      </w:r>
      <w:r w:rsidRPr="003F7807">
        <w:rPr>
          <w:rFonts w:cs="Arial"/>
          <w:bCs/>
        </w:rPr>
        <w:t>m (</w:t>
      </w:r>
      <w:r w:rsidR="00B50B98">
        <w:rPr>
          <w:rFonts w:cs="Arial"/>
          <w:bCs/>
        </w:rPr>
        <w:t>79</w:t>
      </w:r>
      <w:r w:rsidR="00CD2C62">
        <w:rPr>
          <w:rFonts w:cs="Arial"/>
          <w:bCs/>
        </w:rPr>
        <w:t>%</w:t>
      </w:r>
      <w:r w:rsidRPr="003F7807">
        <w:rPr>
          <w:rFonts w:cs="Arial"/>
          <w:bCs/>
        </w:rPr>
        <w:t>) in 2018/19, a</w:t>
      </w:r>
      <w:r w:rsidR="004003C3" w:rsidRPr="008C337C">
        <w:rPr>
          <w:rFonts w:cs="Arial"/>
          <w:bCs/>
        </w:rPr>
        <w:t>nd</w:t>
      </w:r>
      <w:r w:rsidRPr="003F7807">
        <w:rPr>
          <w:rFonts w:cs="Arial"/>
          <w:bCs/>
        </w:rPr>
        <w:t xml:space="preserve"> budget slippage </w:t>
      </w:r>
      <w:r w:rsidR="00520EF1" w:rsidRPr="003F7807">
        <w:rPr>
          <w:rFonts w:cs="Arial"/>
          <w:bCs/>
        </w:rPr>
        <w:t>of (£</w:t>
      </w:r>
      <w:r w:rsidR="00F70EFE">
        <w:rPr>
          <w:rFonts w:cs="Arial"/>
          <w:bCs/>
        </w:rPr>
        <w:t>53.499</w:t>
      </w:r>
      <w:r w:rsidRPr="003F7807">
        <w:rPr>
          <w:rFonts w:cs="Arial"/>
          <w:bCs/>
        </w:rPr>
        <w:t>m).</w:t>
      </w:r>
      <w:r w:rsidR="00EF00F5" w:rsidRPr="003F7807">
        <w:t xml:space="preserve"> </w:t>
      </w:r>
      <w:r w:rsidR="00EF00F5" w:rsidRPr="003F7807">
        <w:rPr>
          <w:rFonts w:cs="Arial"/>
          <w:bCs/>
        </w:rPr>
        <w:t xml:space="preserve">There </w:t>
      </w:r>
      <w:r w:rsidR="00024DD4">
        <w:rPr>
          <w:rFonts w:cs="Arial"/>
          <w:bCs/>
        </w:rPr>
        <w:t>are</w:t>
      </w:r>
      <w:r w:rsidR="00EF00F5" w:rsidRPr="003F7807">
        <w:rPr>
          <w:rFonts w:cs="Arial"/>
          <w:bCs/>
        </w:rPr>
        <w:t xml:space="preserve"> no revenue implication of these capital slippages and underspend.</w:t>
      </w:r>
    </w:p>
    <w:p w:rsidR="003F7807" w:rsidRPr="008C337C" w:rsidRDefault="003F7807" w:rsidP="008C337C">
      <w:pPr>
        <w:pStyle w:val="ListParagraph"/>
        <w:ind w:left="567"/>
        <w:jc w:val="both"/>
        <w:rPr>
          <w:rFonts w:cs="Arial"/>
        </w:rPr>
      </w:pPr>
    </w:p>
    <w:p w:rsidR="004003C3" w:rsidRDefault="004003C3" w:rsidP="00D32FE5">
      <w:pPr>
        <w:pStyle w:val="ListParagraph"/>
        <w:numPr>
          <w:ilvl w:val="0"/>
          <w:numId w:val="114"/>
        </w:numPr>
        <w:ind w:left="567" w:hanging="567"/>
        <w:jc w:val="both"/>
        <w:rPr>
          <w:rFonts w:cs="Arial"/>
        </w:rPr>
      </w:pPr>
      <w:r w:rsidRPr="008C337C">
        <w:rPr>
          <w:rFonts w:cs="Arial"/>
        </w:rPr>
        <w:t>The services spent and commit</w:t>
      </w:r>
      <w:r w:rsidR="002C1C65">
        <w:rPr>
          <w:rFonts w:cs="Arial"/>
        </w:rPr>
        <w:t>ted 20</w:t>
      </w:r>
      <w:r w:rsidRPr="008C337C">
        <w:rPr>
          <w:rFonts w:cs="Arial"/>
        </w:rPr>
        <w:t>% of its budget at Q2. The main reason that this is below the profiled spend at this time of the year is that the construction work at the depot is scheduled to commence in the latter part of the financial year when the majority of its budget will be spent</w:t>
      </w:r>
      <w:r w:rsidR="003F7807" w:rsidRPr="008C337C">
        <w:rPr>
          <w:rFonts w:cs="Arial"/>
        </w:rPr>
        <w:t>.</w:t>
      </w:r>
    </w:p>
    <w:p w:rsidR="00DB5420" w:rsidRPr="006A5D06" w:rsidRDefault="00DB5420" w:rsidP="008C337C">
      <w:pPr>
        <w:pStyle w:val="ListParagraph"/>
        <w:rPr>
          <w:rFonts w:cs="Arial"/>
        </w:rPr>
      </w:pPr>
    </w:p>
    <w:p w:rsidR="00DB5420" w:rsidRDefault="00DB5420" w:rsidP="008C337C">
      <w:pPr>
        <w:pStyle w:val="ListParagraph"/>
        <w:numPr>
          <w:ilvl w:val="0"/>
          <w:numId w:val="114"/>
        </w:numPr>
        <w:ind w:left="567" w:hanging="644"/>
        <w:jc w:val="both"/>
        <w:rPr>
          <w:rFonts w:cs="Arial"/>
        </w:rPr>
      </w:pPr>
      <w:r w:rsidRPr="002C1C65">
        <w:rPr>
          <w:rFonts w:cs="Arial"/>
        </w:rPr>
        <w:t xml:space="preserve">The </w:t>
      </w:r>
      <w:r>
        <w:rPr>
          <w:rFonts w:cs="Arial"/>
        </w:rPr>
        <w:t xml:space="preserve">Vehicle Procurement budget of </w:t>
      </w:r>
      <w:r w:rsidRPr="00846E58">
        <w:rPr>
          <w:rFonts w:cs="Arial"/>
          <w:b/>
        </w:rPr>
        <w:t xml:space="preserve">£11.314m </w:t>
      </w:r>
      <w:r>
        <w:rPr>
          <w:rFonts w:cs="Arial"/>
        </w:rPr>
        <w:t xml:space="preserve">will be slipped due to </w:t>
      </w:r>
      <w:r w:rsidRPr="002C1C65">
        <w:rPr>
          <w:rFonts w:cs="Arial"/>
        </w:rPr>
        <w:t xml:space="preserve">the lead-in time for manufacturing the vehicles which means some vehicles will be purchased in </w:t>
      </w:r>
      <w:r>
        <w:rPr>
          <w:rFonts w:cs="Arial"/>
        </w:rPr>
        <w:t>20</w:t>
      </w:r>
      <w:r w:rsidRPr="002C1C65">
        <w:rPr>
          <w:rFonts w:cs="Arial"/>
        </w:rPr>
        <w:t>19/20 instead</w:t>
      </w:r>
      <w:r>
        <w:rPr>
          <w:rFonts w:cs="Arial"/>
        </w:rPr>
        <w:t>.</w:t>
      </w:r>
    </w:p>
    <w:p w:rsidR="00DB5420" w:rsidRDefault="00DB5420" w:rsidP="008C337C">
      <w:pPr>
        <w:pStyle w:val="ListParagraph"/>
        <w:rPr>
          <w:rFonts w:cs="Arial"/>
        </w:rPr>
      </w:pPr>
    </w:p>
    <w:p w:rsidR="00DB5420" w:rsidRPr="006A5D06" w:rsidRDefault="00DB5420" w:rsidP="008C337C">
      <w:pPr>
        <w:pStyle w:val="ListParagraph"/>
        <w:rPr>
          <w:rFonts w:cs="Arial"/>
        </w:rPr>
      </w:pPr>
    </w:p>
    <w:p w:rsidR="00DB5420" w:rsidRPr="008C337C" w:rsidRDefault="003E69E2" w:rsidP="008C337C">
      <w:pPr>
        <w:jc w:val="both"/>
        <w:rPr>
          <w:rFonts w:cs="Arial"/>
          <w:b/>
        </w:rPr>
      </w:pPr>
      <w:r>
        <w:rPr>
          <w:rFonts w:cs="Arial"/>
          <w:b/>
        </w:rPr>
        <w:t xml:space="preserve">         </w:t>
      </w:r>
      <w:r w:rsidR="00DB5420" w:rsidRPr="008C337C">
        <w:rPr>
          <w:rFonts w:cs="Arial"/>
          <w:b/>
        </w:rPr>
        <w:t>Culture</w:t>
      </w:r>
    </w:p>
    <w:p w:rsidR="00DB5420" w:rsidRPr="008C337C" w:rsidRDefault="00DB5420" w:rsidP="00D32FE5">
      <w:pPr>
        <w:pStyle w:val="ListParagraph"/>
        <w:numPr>
          <w:ilvl w:val="0"/>
          <w:numId w:val="114"/>
        </w:numPr>
        <w:ind w:left="567" w:hanging="567"/>
        <w:jc w:val="both"/>
        <w:rPr>
          <w:rFonts w:cs="Arial"/>
        </w:rPr>
      </w:pPr>
      <w:r w:rsidRPr="00DB5420">
        <w:rPr>
          <w:rFonts w:cs="Arial"/>
          <w:bCs/>
        </w:rPr>
        <w:t>At Quarter 2, the service is forecasting to spend £</w:t>
      </w:r>
      <w:r>
        <w:rPr>
          <w:rFonts w:cs="Arial"/>
          <w:bCs/>
        </w:rPr>
        <w:t>1.272</w:t>
      </w:r>
      <w:r w:rsidRPr="00DB5420">
        <w:rPr>
          <w:rFonts w:cs="Arial"/>
          <w:bCs/>
        </w:rPr>
        <w:t>m (</w:t>
      </w:r>
      <w:r>
        <w:rPr>
          <w:rFonts w:cs="Arial"/>
          <w:bCs/>
        </w:rPr>
        <w:t>63</w:t>
      </w:r>
      <w:r w:rsidRPr="00DB5420">
        <w:rPr>
          <w:rFonts w:cs="Arial"/>
          <w:bCs/>
        </w:rPr>
        <w:t>%) in 2018/19, and budget slippage of (£</w:t>
      </w:r>
      <w:r>
        <w:rPr>
          <w:rFonts w:cs="Arial"/>
          <w:bCs/>
        </w:rPr>
        <w:t>2.026</w:t>
      </w:r>
      <w:r w:rsidRPr="00DB5420">
        <w:rPr>
          <w:rFonts w:cs="Arial"/>
          <w:bCs/>
        </w:rPr>
        <w:t>m).</w:t>
      </w:r>
      <w:r w:rsidRPr="00DB5420">
        <w:rPr>
          <w:rFonts w:cs="Arial"/>
        </w:rPr>
        <w:t xml:space="preserve"> </w:t>
      </w:r>
      <w:r w:rsidRPr="00DB5420">
        <w:rPr>
          <w:rFonts w:cs="Arial"/>
          <w:bCs/>
        </w:rPr>
        <w:t xml:space="preserve">There </w:t>
      </w:r>
      <w:r w:rsidR="00024DD4">
        <w:rPr>
          <w:rFonts w:cs="Arial"/>
          <w:bCs/>
        </w:rPr>
        <w:t>are</w:t>
      </w:r>
      <w:r w:rsidRPr="00DB5420">
        <w:rPr>
          <w:rFonts w:cs="Arial"/>
          <w:bCs/>
        </w:rPr>
        <w:t xml:space="preserve"> no revenue implication of these capital slippages and underspend</w:t>
      </w:r>
    </w:p>
    <w:p w:rsidR="003F7807" w:rsidRPr="008C337C" w:rsidRDefault="003F7807" w:rsidP="008C337C">
      <w:pPr>
        <w:pStyle w:val="ListParagraph"/>
        <w:rPr>
          <w:rFonts w:cs="Arial"/>
        </w:rPr>
      </w:pPr>
    </w:p>
    <w:p w:rsidR="004003C3" w:rsidRDefault="004003C3" w:rsidP="00D32FE5">
      <w:pPr>
        <w:pStyle w:val="ListParagraph"/>
        <w:numPr>
          <w:ilvl w:val="0"/>
          <w:numId w:val="114"/>
        </w:numPr>
        <w:ind w:left="567" w:hanging="567"/>
        <w:jc w:val="both"/>
        <w:rPr>
          <w:rFonts w:cs="Arial"/>
        </w:rPr>
      </w:pPr>
      <w:r w:rsidRPr="008C337C">
        <w:rPr>
          <w:rFonts w:cs="Arial"/>
        </w:rPr>
        <w:t xml:space="preserve">The Bannister Sports Centre project is S106 funded. There is a total budget of £0.904m in 2018/19. It is planned to utilise the funding for the installation of a new 3G pitch and improvement works at Harrow Weald Recreation. A funding application to the Football Foundation is being prepared to try to maximise the funding available for these works. The submission of the application is dependent on the confirmation of the granting of planning permission. The works to the pavilion will start after the football season has ended so April 2019 at the earliest. The forecast spend in </w:t>
      </w:r>
      <w:r w:rsidR="00162315">
        <w:rPr>
          <w:rFonts w:cs="Arial"/>
        </w:rPr>
        <w:t>20</w:t>
      </w:r>
      <w:r w:rsidRPr="008C337C">
        <w:rPr>
          <w:rFonts w:cs="Arial"/>
        </w:rPr>
        <w:t xml:space="preserve">18/19 is therefore mainly related to the electrical upgrades at the Bannister site </w:t>
      </w:r>
      <w:r w:rsidR="00CD2C62">
        <w:rPr>
          <w:rFonts w:cs="Arial"/>
        </w:rPr>
        <w:t xml:space="preserve">and the remaining budget </w:t>
      </w:r>
      <w:r w:rsidR="00CD2C62" w:rsidRPr="008C337C">
        <w:rPr>
          <w:rFonts w:cs="Arial"/>
          <w:b/>
        </w:rPr>
        <w:t>£0.751</w:t>
      </w:r>
      <w:r w:rsidRPr="008C337C">
        <w:rPr>
          <w:rFonts w:cs="Arial"/>
          <w:b/>
        </w:rPr>
        <w:t>m</w:t>
      </w:r>
      <w:r w:rsidRPr="008C337C">
        <w:rPr>
          <w:rFonts w:cs="Arial"/>
        </w:rPr>
        <w:t xml:space="preserve"> is to be slipped to </w:t>
      </w:r>
      <w:r w:rsidR="00DB5420">
        <w:rPr>
          <w:rFonts w:cs="Arial"/>
        </w:rPr>
        <w:t>20</w:t>
      </w:r>
      <w:r w:rsidRPr="008C337C">
        <w:rPr>
          <w:rFonts w:cs="Arial"/>
        </w:rPr>
        <w:t>19/20.</w:t>
      </w:r>
    </w:p>
    <w:p w:rsidR="002C1C65" w:rsidRPr="00A51B2C" w:rsidRDefault="002C1C65" w:rsidP="008C337C">
      <w:pPr>
        <w:pStyle w:val="ListParagraph"/>
        <w:jc w:val="both"/>
        <w:rPr>
          <w:rFonts w:cs="Arial"/>
        </w:rPr>
      </w:pPr>
    </w:p>
    <w:p w:rsidR="00AE496A" w:rsidRPr="008C337C" w:rsidRDefault="00AE496A">
      <w:pPr>
        <w:pStyle w:val="ListParagraph"/>
        <w:ind w:left="567"/>
        <w:jc w:val="both"/>
        <w:rPr>
          <w:rFonts w:cs="Arial"/>
          <w:highlight w:val="yellow"/>
        </w:rPr>
      </w:pPr>
    </w:p>
    <w:p w:rsidR="00520EF1" w:rsidRDefault="003E69E2" w:rsidP="008C337C">
      <w:pPr>
        <w:rPr>
          <w:b/>
          <w:bCs/>
        </w:rPr>
      </w:pPr>
      <w:r>
        <w:rPr>
          <w:rFonts w:cs="Arial"/>
        </w:rPr>
        <w:t xml:space="preserve">        </w:t>
      </w:r>
      <w:r w:rsidR="00520EF1" w:rsidRPr="00107601">
        <w:rPr>
          <w:b/>
          <w:bCs/>
        </w:rPr>
        <w:t>Housing General Fund</w:t>
      </w:r>
    </w:p>
    <w:p w:rsidR="00520EF1" w:rsidRPr="00107601" w:rsidRDefault="00520EF1">
      <w:pPr>
        <w:pStyle w:val="ListParagraph"/>
        <w:numPr>
          <w:ilvl w:val="0"/>
          <w:numId w:val="114"/>
        </w:numPr>
        <w:spacing w:after="120"/>
        <w:ind w:left="567" w:hanging="567"/>
        <w:contextualSpacing w:val="0"/>
        <w:jc w:val="both"/>
        <w:rPr>
          <w:bCs/>
        </w:rPr>
      </w:pPr>
      <w:r w:rsidRPr="00107601">
        <w:rPr>
          <w:bCs/>
        </w:rPr>
        <w:t xml:space="preserve">At Quarter </w:t>
      </w:r>
      <w:r w:rsidR="00B50B98" w:rsidRPr="008C337C">
        <w:rPr>
          <w:bCs/>
        </w:rPr>
        <w:t>2</w:t>
      </w:r>
      <w:r w:rsidRPr="00107601">
        <w:rPr>
          <w:bCs/>
        </w:rPr>
        <w:t xml:space="preserve"> the outturn forecast for Housing General Fund is £</w:t>
      </w:r>
      <w:r w:rsidR="00B50B98" w:rsidRPr="008C337C">
        <w:rPr>
          <w:bCs/>
        </w:rPr>
        <w:t>2.778</w:t>
      </w:r>
      <w:r w:rsidRPr="00107601">
        <w:rPr>
          <w:bCs/>
        </w:rPr>
        <w:t>m.</w:t>
      </w:r>
    </w:p>
    <w:p w:rsidR="00520EF1" w:rsidRPr="00107601" w:rsidRDefault="00520EF1">
      <w:pPr>
        <w:pStyle w:val="ListParagraph"/>
        <w:numPr>
          <w:ilvl w:val="0"/>
          <w:numId w:val="114"/>
        </w:numPr>
        <w:ind w:left="567" w:hanging="567"/>
        <w:jc w:val="both"/>
        <w:rPr>
          <w:rFonts w:cs="Arial"/>
        </w:rPr>
      </w:pPr>
      <w:r w:rsidRPr="00107601">
        <w:rPr>
          <w:bCs/>
        </w:rPr>
        <w:t xml:space="preserve">The forecast variance </w:t>
      </w:r>
      <w:r w:rsidR="00B50B98" w:rsidRPr="008C337C">
        <w:rPr>
          <w:bCs/>
        </w:rPr>
        <w:t>is</w:t>
      </w:r>
      <w:r w:rsidRPr="00107601">
        <w:rPr>
          <w:bCs/>
        </w:rPr>
        <w:t xml:space="preserve"> (£</w:t>
      </w:r>
      <w:r w:rsidR="00B50B98" w:rsidRPr="008C337C">
        <w:rPr>
          <w:bCs/>
        </w:rPr>
        <w:t>15</w:t>
      </w:r>
      <w:r w:rsidRPr="00107601">
        <w:rPr>
          <w:bCs/>
        </w:rPr>
        <w:t>.</w:t>
      </w:r>
      <w:r w:rsidR="00B50B98" w:rsidRPr="008C337C">
        <w:rPr>
          <w:bCs/>
        </w:rPr>
        <w:t>684</w:t>
      </w:r>
      <w:r w:rsidRPr="00107601">
        <w:rPr>
          <w:bCs/>
        </w:rPr>
        <w:t>m)</w:t>
      </w:r>
      <w:r w:rsidR="00B50B98" w:rsidRPr="008C337C">
        <w:rPr>
          <w:bCs/>
        </w:rPr>
        <w:t xml:space="preserve">, </w:t>
      </w:r>
      <w:r w:rsidR="00B50B98" w:rsidRPr="008C337C">
        <w:rPr>
          <w:b/>
          <w:bCs/>
        </w:rPr>
        <w:t>£14.933m</w:t>
      </w:r>
      <w:r w:rsidR="00B50B98" w:rsidRPr="008C337C">
        <w:rPr>
          <w:bCs/>
        </w:rPr>
        <w:t xml:space="preserve"> will be slipped to 2019/20</w:t>
      </w:r>
      <w:r w:rsidR="00107601" w:rsidRPr="008C337C">
        <w:rPr>
          <w:bCs/>
        </w:rPr>
        <w:t xml:space="preserve"> while £0.751m</w:t>
      </w:r>
      <w:r w:rsidR="00B50B98" w:rsidRPr="008C337C">
        <w:rPr>
          <w:bCs/>
        </w:rPr>
        <w:t xml:space="preserve"> is</w:t>
      </w:r>
      <w:r w:rsidRPr="00107601">
        <w:rPr>
          <w:bCs/>
        </w:rPr>
        <w:t xml:space="preserve"> no longer needed.</w:t>
      </w:r>
      <w:r w:rsidRPr="00107601">
        <w:rPr>
          <w:rFonts w:cs="Arial"/>
          <w:bCs/>
        </w:rPr>
        <w:t xml:space="preserve"> The main items of </w:t>
      </w:r>
      <w:r w:rsidR="008D3E9D" w:rsidRPr="00107601">
        <w:rPr>
          <w:rFonts w:cs="Arial"/>
          <w:bCs/>
        </w:rPr>
        <w:t xml:space="preserve"> underspend </w:t>
      </w:r>
      <w:r w:rsidR="00107601">
        <w:rPr>
          <w:rFonts w:cs="Arial"/>
          <w:bCs/>
        </w:rPr>
        <w:t xml:space="preserve">and slippage </w:t>
      </w:r>
      <w:r w:rsidR="008D3E9D" w:rsidRPr="00107601">
        <w:rPr>
          <w:rFonts w:cs="Arial"/>
          <w:bCs/>
        </w:rPr>
        <w:t>is</w:t>
      </w:r>
      <w:r w:rsidRPr="00107601">
        <w:rPr>
          <w:rFonts w:cs="Arial"/>
          <w:bCs/>
        </w:rPr>
        <w:t xml:space="preserve"> detailed below;</w:t>
      </w:r>
    </w:p>
    <w:p w:rsidR="000F4223" w:rsidRPr="008C337C" w:rsidRDefault="000F4223" w:rsidP="008C337C">
      <w:pPr>
        <w:pStyle w:val="ListParagraph"/>
        <w:jc w:val="both"/>
        <w:rPr>
          <w:rFonts w:cs="Arial"/>
        </w:rPr>
      </w:pPr>
    </w:p>
    <w:p w:rsidR="000F4223" w:rsidRDefault="000F4223" w:rsidP="008C337C">
      <w:pPr>
        <w:pStyle w:val="ListParagraph"/>
        <w:numPr>
          <w:ilvl w:val="0"/>
          <w:numId w:val="114"/>
        </w:numPr>
        <w:ind w:left="567" w:hanging="567"/>
        <w:jc w:val="both"/>
        <w:rPr>
          <w:rFonts w:cs="Arial"/>
        </w:rPr>
      </w:pPr>
      <w:r w:rsidRPr="008C337C">
        <w:rPr>
          <w:rFonts w:cs="Arial"/>
          <w:b/>
        </w:rPr>
        <w:t>£14.933m</w:t>
      </w:r>
      <w:r w:rsidRPr="008C337C">
        <w:rPr>
          <w:rFonts w:cs="Arial"/>
        </w:rPr>
        <w:t xml:space="preserve"> slippage relates to acquisition of additional properties under Council’s Property </w:t>
      </w:r>
      <w:r w:rsidR="00CD2C62">
        <w:rPr>
          <w:rFonts w:cs="Arial"/>
        </w:rPr>
        <w:t>Acquisition Programme</w:t>
      </w:r>
      <w:r w:rsidR="00162315">
        <w:rPr>
          <w:rFonts w:cs="Arial"/>
        </w:rPr>
        <w:t>.</w:t>
      </w:r>
      <w:r w:rsidR="009F569E" w:rsidRPr="009F569E">
        <w:rPr>
          <w:i/>
          <w:iCs/>
        </w:rPr>
        <w:t xml:space="preserve"> </w:t>
      </w:r>
      <w:r w:rsidR="009F569E" w:rsidRPr="008C337C">
        <w:rPr>
          <w:rFonts w:cs="Arial"/>
        </w:rPr>
        <w:t xml:space="preserve">Delays in acquisition of additional properties will result in a reduced supply of temporary accommodation which can be used as an alternative to the more expensive Bed &amp; </w:t>
      </w:r>
      <w:r w:rsidR="00BD758C" w:rsidRPr="009F569E">
        <w:rPr>
          <w:rFonts w:cs="Arial"/>
        </w:rPr>
        <w:t>Breakfast;</w:t>
      </w:r>
      <w:r w:rsidR="009F569E" w:rsidRPr="008C337C">
        <w:rPr>
          <w:rFonts w:cs="Arial"/>
        </w:rPr>
        <w:t xml:space="preserve"> </w:t>
      </w:r>
      <w:r w:rsidR="00CD2C62" w:rsidRPr="009F569E">
        <w:rPr>
          <w:rFonts w:cs="Arial"/>
        </w:rPr>
        <w:t>however</w:t>
      </w:r>
      <w:r w:rsidR="00CD2C62">
        <w:rPr>
          <w:rFonts w:cs="Arial"/>
        </w:rPr>
        <w:t xml:space="preserve"> </w:t>
      </w:r>
      <w:r w:rsidR="00CD2C62" w:rsidRPr="009F569E">
        <w:rPr>
          <w:rFonts w:cs="Arial"/>
        </w:rPr>
        <w:t>this</w:t>
      </w:r>
      <w:r w:rsidR="009F569E" w:rsidRPr="008C337C">
        <w:rPr>
          <w:rFonts w:cs="Arial"/>
        </w:rPr>
        <w:t xml:space="preserve"> would only be the case until the new properties come into use by the Council</w:t>
      </w:r>
      <w:r w:rsidR="009F569E">
        <w:rPr>
          <w:rFonts w:cs="Arial"/>
        </w:rPr>
        <w:t>.</w:t>
      </w:r>
    </w:p>
    <w:p w:rsidR="000F4223" w:rsidRDefault="000F4223" w:rsidP="008C337C">
      <w:pPr>
        <w:pStyle w:val="ListParagraph"/>
        <w:ind w:left="567"/>
        <w:jc w:val="both"/>
        <w:rPr>
          <w:rFonts w:cs="Arial"/>
        </w:rPr>
      </w:pPr>
    </w:p>
    <w:p w:rsidR="000F4223" w:rsidRDefault="000F4223" w:rsidP="008C337C">
      <w:pPr>
        <w:pStyle w:val="ListParagraph"/>
        <w:numPr>
          <w:ilvl w:val="0"/>
          <w:numId w:val="114"/>
        </w:numPr>
        <w:ind w:left="567" w:hanging="567"/>
        <w:jc w:val="both"/>
        <w:rPr>
          <w:rFonts w:cs="Arial"/>
        </w:rPr>
      </w:pPr>
      <w:r w:rsidRPr="008C337C">
        <w:rPr>
          <w:rFonts w:cs="Arial"/>
        </w:rPr>
        <w:t xml:space="preserve"> Underspend </w:t>
      </w:r>
      <w:r w:rsidRPr="008C337C">
        <w:rPr>
          <w:rFonts w:cs="Arial"/>
          <w:b/>
        </w:rPr>
        <w:t xml:space="preserve">£0.751m </w:t>
      </w:r>
      <w:r w:rsidRPr="008C337C">
        <w:rPr>
          <w:rFonts w:cs="Arial"/>
        </w:rPr>
        <w:t xml:space="preserve">relates </w:t>
      </w:r>
      <w:r>
        <w:rPr>
          <w:rFonts w:cs="Arial"/>
        </w:rPr>
        <w:t>mainly to budget set aside for C</w:t>
      </w:r>
      <w:r w:rsidRPr="008C337C">
        <w:rPr>
          <w:rFonts w:cs="Arial"/>
        </w:rPr>
        <w:t xml:space="preserve">ompulsory </w:t>
      </w:r>
      <w:r>
        <w:rPr>
          <w:rFonts w:cs="Arial"/>
        </w:rPr>
        <w:t>Purchase O</w:t>
      </w:r>
      <w:r w:rsidRPr="008C337C">
        <w:rPr>
          <w:rFonts w:cs="Arial"/>
        </w:rPr>
        <w:t>rder not now proceeding and will not have a significant</w:t>
      </w:r>
      <w:r w:rsidR="00463577">
        <w:rPr>
          <w:rFonts w:cs="Arial"/>
        </w:rPr>
        <w:t xml:space="preserve"> revenue</w:t>
      </w:r>
      <w:r w:rsidRPr="008C337C">
        <w:rPr>
          <w:rFonts w:cs="Arial"/>
        </w:rPr>
        <w:t xml:space="preserve"> impact as it relates to a single property</w:t>
      </w:r>
      <w:r w:rsidR="009F569E">
        <w:rPr>
          <w:rFonts w:cs="Arial"/>
        </w:rPr>
        <w:t>.</w:t>
      </w:r>
    </w:p>
    <w:p w:rsidR="00BF324E" w:rsidRPr="00A50A0E" w:rsidRDefault="00BF324E" w:rsidP="008C337C">
      <w:pPr>
        <w:pStyle w:val="ListParagraph"/>
        <w:rPr>
          <w:rFonts w:cs="Arial"/>
        </w:rPr>
      </w:pPr>
    </w:p>
    <w:p w:rsidR="008E6909" w:rsidRDefault="008E6909" w:rsidP="008C337C">
      <w:pPr>
        <w:pStyle w:val="ListParagraph"/>
        <w:jc w:val="both"/>
        <w:rPr>
          <w:rFonts w:cs="Arial"/>
          <w:highlight w:val="yellow"/>
        </w:rPr>
      </w:pPr>
    </w:p>
    <w:p w:rsidR="00FE72DF" w:rsidRPr="00C60A31" w:rsidRDefault="00FE72DF" w:rsidP="008C337C">
      <w:pPr>
        <w:ind w:firstLine="567"/>
        <w:jc w:val="both"/>
        <w:rPr>
          <w:rFonts w:cs="Arial"/>
          <w:b/>
          <w:szCs w:val="24"/>
        </w:rPr>
      </w:pPr>
      <w:r w:rsidRPr="00C60A31">
        <w:rPr>
          <w:rFonts w:cs="Arial"/>
          <w:b/>
          <w:szCs w:val="24"/>
        </w:rPr>
        <w:t>REGENERATION</w:t>
      </w:r>
    </w:p>
    <w:p w:rsidR="00C60A31" w:rsidRPr="00BA58B4" w:rsidRDefault="00FE72DF" w:rsidP="00531831">
      <w:pPr>
        <w:pStyle w:val="ListParagraph"/>
        <w:numPr>
          <w:ilvl w:val="0"/>
          <w:numId w:val="114"/>
        </w:numPr>
        <w:ind w:hanging="644"/>
        <w:rPr>
          <w:rFonts w:cs="Arial"/>
          <w:bCs/>
        </w:rPr>
      </w:pPr>
      <w:r w:rsidRPr="00C60A31">
        <w:rPr>
          <w:rFonts w:cs="Arial"/>
          <w:bCs/>
        </w:rPr>
        <w:t xml:space="preserve">At Quarter </w:t>
      </w:r>
      <w:r w:rsidR="00044380" w:rsidRPr="00C60A31">
        <w:rPr>
          <w:rFonts w:cs="Arial"/>
          <w:bCs/>
        </w:rPr>
        <w:t>2</w:t>
      </w:r>
      <w:r w:rsidRPr="00C60A31">
        <w:rPr>
          <w:rFonts w:cs="Arial"/>
          <w:bCs/>
        </w:rPr>
        <w:t>, the forecast spen</w:t>
      </w:r>
      <w:r w:rsidR="00426329">
        <w:rPr>
          <w:rFonts w:cs="Arial"/>
          <w:bCs/>
        </w:rPr>
        <w:t>d</w:t>
      </w:r>
      <w:r w:rsidRPr="00C60A31">
        <w:rPr>
          <w:rFonts w:cs="Arial"/>
          <w:bCs/>
        </w:rPr>
        <w:t xml:space="preserve"> </w:t>
      </w:r>
      <w:r w:rsidR="00C60A31" w:rsidRPr="00531831">
        <w:rPr>
          <w:rFonts w:cs="Arial"/>
          <w:bCs/>
        </w:rPr>
        <w:t>on regeneration main project</w:t>
      </w:r>
      <w:r w:rsidR="00C60A31">
        <w:rPr>
          <w:rFonts w:cs="Arial"/>
          <w:bCs/>
        </w:rPr>
        <w:t>s</w:t>
      </w:r>
      <w:r w:rsidR="00C60A31" w:rsidRPr="00531831">
        <w:rPr>
          <w:rFonts w:cs="Arial"/>
          <w:bCs/>
        </w:rPr>
        <w:t xml:space="preserve"> is </w:t>
      </w:r>
      <w:r w:rsidRPr="00C60A31">
        <w:rPr>
          <w:rFonts w:cs="Arial"/>
          <w:bCs/>
        </w:rPr>
        <w:t>£</w:t>
      </w:r>
      <w:r w:rsidR="00C60A31" w:rsidRPr="00531831">
        <w:rPr>
          <w:rFonts w:cs="Arial"/>
          <w:bCs/>
        </w:rPr>
        <w:t>7.</w:t>
      </w:r>
      <w:r w:rsidR="008057C3">
        <w:rPr>
          <w:rFonts w:cs="Arial"/>
          <w:bCs/>
        </w:rPr>
        <w:t>0</w:t>
      </w:r>
      <w:r w:rsidR="00C60A31" w:rsidRPr="00531831">
        <w:rPr>
          <w:rFonts w:cs="Arial"/>
          <w:bCs/>
        </w:rPr>
        <w:t>62</w:t>
      </w:r>
      <w:r w:rsidRPr="00C60A31">
        <w:rPr>
          <w:rFonts w:cs="Arial"/>
          <w:bCs/>
        </w:rPr>
        <w:t>m</w:t>
      </w:r>
      <w:r w:rsidR="00044380" w:rsidRPr="00C60A31">
        <w:rPr>
          <w:rFonts w:cs="Arial"/>
          <w:bCs/>
        </w:rPr>
        <w:t>,</w:t>
      </w:r>
      <w:r w:rsidR="00B50B98" w:rsidRPr="00C60A31">
        <w:rPr>
          <w:rFonts w:cs="Arial"/>
          <w:bCs/>
        </w:rPr>
        <w:t xml:space="preserve"> </w:t>
      </w:r>
      <w:r w:rsidRPr="00C60A31">
        <w:rPr>
          <w:rFonts w:cs="Arial"/>
          <w:bCs/>
        </w:rPr>
        <w:t xml:space="preserve">this represents </w:t>
      </w:r>
      <w:r w:rsidR="00426329">
        <w:rPr>
          <w:rFonts w:cs="Arial"/>
          <w:bCs/>
        </w:rPr>
        <w:t xml:space="preserve">approximately </w:t>
      </w:r>
      <w:r w:rsidRPr="00C60A31">
        <w:rPr>
          <w:rFonts w:cs="Arial"/>
          <w:bCs/>
        </w:rPr>
        <w:t>1</w:t>
      </w:r>
      <w:r w:rsidR="00C60A31" w:rsidRPr="00531831">
        <w:rPr>
          <w:rFonts w:cs="Arial"/>
          <w:bCs/>
        </w:rPr>
        <w:t>0</w:t>
      </w:r>
      <w:r w:rsidR="0017640E" w:rsidRPr="00C60A31">
        <w:rPr>
          <w:rFonts w:cs="Arial"/>
          <w:bCs/>
        </w:rPr>
        <w:t xml:space="preserve">% of the </w:t>
      </w:r>
      <w:r w:rsidRPr="00C60A31">
        <w:rPr>
          <w:rFonts w:cs="Arial"/>
          <w:bCs/>
        </w:rPr>
        <w:t>approved capital programme</w:t>
      </w:r>
      <w:r w:rsidR="00C60A31" w:rsidRPr="00531831">
        <w:rPr>
          <w:rFonts w:cs="Arial"/>
          <w:bCs/>
        </w:rPr>
        <w:t xml:space="preserve"> budget of </w:t>
      </w:r>
      <w:bookmarkStart w:id="1" w:name="_GoBack"/>
      <w:bookmarkEnd w:id="1"/>
      <w:r w:rsidR="00C60A31" w:rsidRPr="00531831">
        <w:rPr>
          <w:rFonts w:cs="Arial"/>
          <w:bCs/>
        </w:rPr>
        <w:t>£71.418m</w:t>
      </w:r>
      <w:r w:rsidRPr="00C60A31">
        <w:rPr>
          <w:rFonts w:cs="Arial"/>
          <w:bCs/>
        </w:rPr>
        <w:t>.</w:t>
      </w:r>
      <w:r w:rsidR="00A4363A" w:rsidRPr="00C60A31">
        <w:rPr>
          <w:rFonts w:cs="Arial"/>
          <w:bCs/>
        </w:rPr>
        <w:t xml:space="preserve"> </w:t>
      </w:r>
      <w:r w:rsidR="00C60A31" w:rsidRPr="00531831">
        <w:rPr>
          <w:rFonts w:cs="Arial"/>
          <w:bCs/>
        </w:rPr>
        <w:t>The variance of £64.</w:t>
      </w:r>
      <w:r w:rsidR="008057C3">
        <w:rPr>
          <w:rFonts w:cs="Arial"/>
          <w:bCs/>
        </w:rPr>
        <w:t>3</w:t>
      </w:r>
      <w:r w:rsidR="00DC74F8">
        <w:rPr>
          <w:rFonts w:cs="Arial"/>
          <w:bCs/>
        </w:rPr>
        <w:t>56</w:t>
      </w:r>
      <w:r w:rsidR="00C60A31" w:rsidRPr="00531831">
        <w:rPr>
          <w:rFonts w:cs="Arial"/>
          <w:bCs/>
        </w:rPr>
        <w:t>m is the underspend that will be removed from the capital programme</w:t>
      </w:r>
      <w:r w:rsidR="00426329">
        <w:rPr>
          <w:rFonts w:cs="Arial"/>
          <w:bCs/>
        </w:rPr>
        <w:t xml:space="preserve"> in 2018/19</w:t>
      </w:r>
      <w:r w:rsidR="00C60A31" w:rsidRPr="00531831">
        <w:rPr>
          <w:rFonts w:cs="Arial"/>
          <w:bCs/>
        </w:rPr>
        <w:t xml:space="preserve">. </w:t>
      </w:r>
      <w:r w:rsidR="00C60A31" w:rsidRPr="00BA58B4">
        <w:rPr>
          <w:rFonts w:cs="Arial"/>
          <w:bCs/>
        </w:rPr>
        <w:t>The Regenerat</w:t>
      </w:r>
      <w:r w:rsidR="00E43066" w:rsidRPr="00BA58B4">
        <w:rPr>
          <w:rFonts w:cs="Arial"/>
          <w:bCs/>
        </w:rPr>
        <w:t>ion Capital budget i</w:t>
      </w:r>
      <w:r w:rsidR="00C60A31" w:rsidRPr="00BA58B4">
        <w:rPr>
          <w:rFonts w:cs="Arial"/>
          <w:bCs/>
        </w:rPr>
        <w:t xml:space="preserve">s been </w:t>
      </w:r>
      <w:r w:rsidR="00E43066" w:rsidRPr="00BA58B4">
        <w:rPr>
          <w:rFonts w:cs="Arial"/>
          <w:bCs/>
        </w:rPr>
        <w:t xml:space="preserve">reset and is </w:t>
      </w:r>
      <w:r w:rsidR="00C60A31" w:rsidRPr="00BA58B4">
        <w:rPr>
          <w:rFonts w:cs="Arial"/>
          <w:bCs/>
        </w:rPr>
        <w:t>covered elsewhere on this agenda</w:t>
      </w:r>
      <w:r w:rsidR="00426329">
        <w:rPr>
          <w:rFonts w:cs="Arial"/>
          <w:bCs/>
        </w:rPr>
        <w:t xml:space="preserve"> in the Regeneration Programme Report</w:t>
      </w:r>
      <w:r w:rsidR="00C60A31" w:rsidRPr="00BA58B4">
        <w:rPr>
          <w:rFonts w:cs="Arial"/>
          <w:bCs/>
        </w:rPr>
        <w:t>.</w:t>
      </w:r>
    </w:p>
    <w:p w:rsidR="00CE08B0" w:rsidRPr="00BA58B4" w:rsidRDefault="00CE08B0" w:rsidP="008C337C">
      <w:pPr>
        <w:pStyle w:val="ListParagraph"/>
        <w:ind w:left="567"/>
        <w:jc w:val="both"/>
        <w:rPr>
          <w:rFonts w:cs="Arial"/>
        </w:rPr>
      </w:pPr>
    </w:p>
    <w:p w:rsidR="00BA58B4" w:rsidRPr="00531831" w:rsidRDefault="00E43066" w:rsidP="00531831">
      <w:pPr>
        <w:pStyle w:val="ListParagraph"/>
        <w:numPr>
          <w:ilvl w:val="0"/>
          <w:numId w:val="114"/>
        </w:numPr>
        <w:ind w:hanging="644"/>
        <w:jc w:val="both"/>
        <w:rPr>
          <w:rFonts w:cs="Arial"/>
        </w:rPr>
      </w:pPr>
      <w:r w:rsidRPr="00531831">
        <w:rPr>
          <w:rFonts w:cs="Arial"/>
          <w:bCs/>
        </w:rPr>
        <w:t xml:space="preserve">Other regeneration </w:t>
      </w:r>
      <w:r w:rsidR="00BA58B4" w:rsidRPr="00531831">
        <w:rPr>
          <w:rFonts w:cs="Arial"/>
          <w:bCs/>
        </w:rPr>
        <w:t>projects within the Planning and Enterprising division are</w:t>
      </w:r>
      <w:r w:rsidRPr="00531831">
        <w:rPr>
          <w:rFonts w:cs="Arial"/>
          <w:bCs/>
        </w:rPr>
        <w:t xml:space="preserve"> forecasting an outturn of £1.124m</w:t>
      </w:r>
      <w:r w:rsidR="00BA58B4" w:rsidRPr="00531831">
        <w:rPr>
          <w:rFonts w:cs="Arial"/>
          <w:bCs/>
        </w:rPr>
        <w:t xml:space="preserve"> and a budget slippage of £0.661m which relates to Neighbourhood C</w:t>
      </w:r>
      <w:r w:rsidR="00BA58B4" w:rsidRPr="00BA58B4">
        <w:rPr>
          <w:rFonts w:cs="Arial"/>
          <w:bCs/>
        </w:rPr>
        <w:t>ommunity Investment Levy Schemes.</w:t>
      </w:r>
    </w:p>
    <w:p w:rsidR="00426329" w:rsidRDefault="00426329" w:rsidP="008C337C">
      <w:pPr>
        <w:pStyle w:val="ListParagraph"/>
        <w:ind w:left="567"/>
        <w:jc w:val="both"/>
        <w:rPr>
          <w:rFonts w:cs="Arial"/>
          <w:bCs/>
          <w:highlight w:val="yellow"/>
        </w:rPr>
      </w:pPr>
    </w:p>
    <w:p w:rsidR="00C52784" w:rsidRPr="008C337C" w:rsidRDefault="00C52784" w:rsidP="008C337C">
      <w:pPr>
        <w:pStyle w:val="ListParagraph"/>
        <w:ind w:left="567"/>
        <w:jc w:val="both"/>
        <w:rPr>
          <w:rFonts w:cs="Arial"/>
        </w:rPr>
      </w:pPr>
    </w:p>
    <w:p w:rsidR="00BF324E" w:rsidRDefault="00BF324E" w:rsidP="008C337C">
      <w:pPr>
        <w:ind w:firstLine="709"/>
        <w:jc w:val="both"/>
        <w:rPr>
          <w:b/>
          <w:bCs/>
          <w:u w:val="single"/>
        </w:rPr>
      </w:pPr>
    </w:p>
    <w:p w:rsidR="00C01763" w:rsidRDefault="00C01763" w:rsidP="008C337C">
      <w:pPr>
        <w:ind w:firstLine="709"/>
        <w:jc w:val="both"/>
        <w:rPr>
          <w:b/>
          <w:bCs/>
          <w:u w:val="single"/>
        </w:rPr>
      </w:pPr>
      <w:r w:rsidRPr="008442F1">
        <w:rPr>
          <w:b/>
          <w:bCs/>
          <w:u w:val="single"/>
        </w:rPr>
        <w:t>PEOPLE</w:t>
      </w:r>
    </w:p>
    <w:p w:rsidR="00C01763" w:rsidRPr="008442F1" w:rsidRDefault="00C01763" w:rsidP="008C337C">
      <w:pPr>
        <w:jc w:val="both"/>
        <w:rPr>
          <w:b/>
          <w:bCs/>
          <w:u w:val="single"/>
        </w:rPr>
      </w:pPr>
    </w:p>
    <w:p w:rsidR="00520EF1" w:rsidRDefault="00FE1BA8">
      <w:pPr>
        <w:pStyle w:val="ListParagraph"/>
        <w:numPr>
          <w:ilvl w:val="0"/>
          <w:numId w:val="114"/>
        </w:numPr>
        <w:spacing w:after="120"/>
        <w:ind w:left="567" w:hanging="567"/>
        <w:contextualSpacing w:val="0"/>
        <w:jc w:val="both"/>
        <w:rPr>
          <w:bCs/>
        </w:rPr>
      </w:pPr>
      <w:r>
        <w:rPr>
          <w:bCs/>
        </w:rPr>
        <w:t>As a</w:t>
      </w:r>
      <w:r w:rsidR="00C01763" w:rsidRPr="00C01763">
        <w:rPr>
          <w:bCs/>
        </w:rPr>
        <w:t xml:space="preserve">t Quarter </w:t>
      </w:r>
      <w:r w:rsidR="00836091">
        <w:rPr>
          <w:bCs/>
        </w:rPr>
        <w:t>2</w:t>
      </w:r>
      <w:r w:rsidR="00C01763">
        <w:rPr>
          <w:bCs/>
        </w:rPr>
        <w:t xml:space="preserve"> the forecast spend </w:t>
      </w:r>
      <w:r w:rsidR="00DB5420">
        <w:rPr>
          <w:bCs/>
        </w:rPr>
        <w:t>is</w:t>
      </w:r>
      <w:r w:rsidR="00C01763">
        <w:rPr>
          <w:bCs/>
        </w:rPr>
        <w:t xml:space="preserve"> £14.</w:t>
      </w:r>
      <w:r w:rsidR="00836091">
        <w:rPr>
          <w:bCs/>
        </w:rPr>
        <w:t>572</w:t>
      </w:r>
      <w:r w:rsidR="00C01763">
        <w:rPr>
          <w:bCs/>
        </w:rPr>
        <w:t>m, 5</w:t>
      </w:r>
      <w:r w:rsidR="00836091">
        <w:rPr>
          <w:bCs/>
        </w:rPr>
        <w:t>5</w:t>
      </w:r>
      <w:r w:rsidR="00C01763">
        <w:rPr>
          <w:bCs/>
        </w:rPr>
        <w:t>% of the 20</w:t>
      </w:r>
      <w:r w:rsidR="00C01763" w:rsidRPr="00C01763">
        <w:rPr>
          <w:bCs/>
        </w:rPr>
        <w:t>18</w:t>
      </w:r>
      <w:r w:rsidR="00C01763">
        <w:rPr>
          <w:bCs/>
        </w:rPr>
        <w:t xml:space="preserve">/19 </w:t>
      </w:r>
      <w:r w:rsidR="00C01763" w:rsidRPr="00C01763">
        <w:rPr>
          <w:bCs/>
        </w:rPr>
        <w:t>People’s directorate capital budget</w:t>
      </w:r>
      <w:r w:rsidR="00C01763">
        <w:rPr>
          <w:bCs/>
        </w:rPr>
        <w:t>.</w:t>
      </w:r>
    </w:p>
    <w:p w:rsidR="00836091" w:rsidRPr="008C337C" w:rsidRDefault="004876F5">
      <w:pPr>
        <w:pStyle w:val="ListParagraph"/>
        <w:numPr>
          <w:ilvl w:val="0"/>
          <w:numId w:val="114"/>
        </w:numPr>
        <w:spacing w:after="120"/>
        <w:ind w:left="567" w:hanging="567"/>
        <w:contextualSpacing w:val="0"/>
        <w:jc w:val="both"/>
        <w:rPr>
          <w:b/>
          <w:bCs/>
          <w:sz w:val="20"/>
        </w:rPr>
      </w:pPr>
      <w:r w:rsidRPr="00BC03D5">
        <w:rPr>
          <w:bCs/>
        </w:rPr>
        <w:t>The forecast variance is (£11.</w:t>
      </w:r>
      <w:r w:rsidR="00CD2C62">
        <w:rPr>
          <w:bCs/>
        </w:rPr>
        <w:t>75</w:t>
      </w:r>
      <w:r w:rsidR="00836091">
        <w:rPr>
          <w:bCs/>
        </w:rPr>
        <w:t>3</w:t>
      </w:r>
      <w:r w:rsidRPr="00BC03D5">
        <w:rPr>
          <w:bCs/>
        </w:rPr>
        <w:t>m</w:t>
      </w:r>
      <w:r w:rsidR="00FE1BA8" w:rsidRPr="00BC03D5">
        <w:rPr>
          <w:bCs/>
        </w:rPr>
        <w:t>)</w:t>
      </w:r>
      <w:r w:rsidR="00107601">
        <w:rPr>
          <w:bCs/>
        </w:rPr>
        <w:t>;</w:t>
      </w:r>
      <w:r w:rsidR="00836091">
        <w:rPr>
          <w:bCs/>
        </w:rPr>
        <w:t xml:space="preserve"> £11.660m </w:t>
      </w:r>
      <w:r w:rsidR="005A4DF8">
        <w:rPr>
          <w:bCs/>
        </w:rPr>
        <w:t xml:space="preserve">is the </w:t>
      </w:r>
      <w:r w:rsidRPr="00BC03D5">
        <w:rPr>
          <w:bCs/>
        </w:rPr>
        <w:t>slipp</w:t>
      </w:r>
      <w:r w:rsidR="005A4DF8">
        <w:rPr>
          <w:bCs/>
        </w:rPr>
        <w:t>age in</w:t>
      </w:r>
      <w:r w:rsidRPr="00BC03D5">
        <w:rPr>
          <w:bCs/>
        </w:rPr>
        <w:t>to 2019/20</w:t>
      </w:r>
      <w:r w:rsidR="00836091">
        <w:rPr>
          <w:bCs/>
        </w:rPr>
        <w:t xml:space="preserve"> while £9</w:t>
      </w:r>
      <w:r w:rsidR="00A73D6D">
        <w:rPr>
          <w:bCs/>
        </w:rPr>
        <w:t>3</w:t>
      </w:r>
      <w:r w:rsidR="00DB5420">
        <w:rPr>
          <w:bCs/>
        </w:rPr>
        <w:t>k</w:t>
      </w:r>
      <w:r w:rsidR="00836091">
        <w:rPr>
          <w:bCs/>
        </w:rPr>
        <w:t xml:space="preserve"> budget will be removed from the programme.</w:t>
      </w:r>
    </w:p>
    <w:p w:rsidR="00E33897" w:rsidRPr="008C337C" w:rsidRDefault="00E33897" w:rsidP="008C337C">
      <w:pPr>
        <w:spacing w:after="120"/>
        <w:jc w:val="both"/>
        <w:rPr>
          <w:b/>
          <w:bCs/>
          <w:sz w:val="20"/>
        </w:rPr>
      </w:pPr>
    </w:p>
    <w:p w:rsidR="00FE1BA8" w:rsidRPr="008C19B3" w:rsidRDefault="00FE1BA8" w:rsidP="008C337C">
      <w:pPr>
        <w:ind w:left="567"/>
        <w:jc w:val="both"/>
        <w:rPr>
          <w:b/>
          <w:sz w:val="20"/>
        </w:rPr>
      </w:pPr>
      <w:r w:rsidRPr="008C19B3">
        <w:rPr>
          <w:b/>
          <w:sz w:val="20"/>
        </w:rPr>
        <w:t>ADULTS</w:t>
      </w:r>
    </w:p>
    <w:p w:rsidR="00943D26" w:rsidRPr="00C86579" w:rsidRDefault="00FE1BA8">
      <w:pPr>
        <w:pStyle w:val="ListParagraph"/>
        <w:numPr>
          <w:ilvl w:val="0"/>
          <w:numId w:val="114"/>
        </w:numPr>
        <w:ind w:left="567" w:hanging="567"/>
        <w:jc w:val="both"/>
        <w:rPr>
          <w:rFonts w:cs="Arial"/>
        </w:rPr>
      </w:pPr>
      <w:r w:rsidRPr="00FE1BA8">
        <w:rPr>
          <w:rFonts w:cs="Arial"/>
          <w:bCs/>
        </w:rPr>
        <w:t xml:space="preserve">At Quarter </w:t>
      </w:r>
      <w:r w:rsidR="00836091">
        <w:rPr>
          <w:rFonts w:cs="Arial"/>
          <w:bCs/>
        </w:rPr>
        <w:t>2</w:t>
      </w:r>
      <w:r w:rsidRPr="00FE1BA8">
        <w:rPr>
          <w:rFonts w:cs="Arial"/>
          <w:bCs/>
        </w:rPr>
        <w:t xml:space="preserve"> the forecast spent is £</w:t>
      </w:r>
      <w:r>
        <w:rPr>
          <w:rFonts w:cs="Arial"/>
          <w:bCs/>
        </w:rPr>
        <w:t>1.</w:t>
      </w:r>
      <w:r w:rsidR="00836091">
        <w:rPr>
          <w:rFonts w:cs="Arial"/>
          <w:bCs/>
        </w:rPr>
        <w:t>045</w:t>
      </w:r>
      <w:r w:rsidRPr="00FE1BA8">
        <w:rPr>
          <w:rFonts w:cs="Arial"/>
          <w:bCs/>
        </w:rPr>
        <w:t xml:space="preserve">m this represents </w:t>
      </w:r>
      <w:r w:rsidR="00836091">
        <w:rPr>
          <w:rFonts w:cs="Arial"/>
          <w:bCs/>
        </w:rPr>
        <w:t>92</w:t>
      </w:r>
      <w:r w:rsidRPr="00FE1BA8">
        <w:rPr>
          <w:rFonts w:cs="Arial"/>
          <w:bCs/>
        </w:rPr>
        <w:t>% of the approved capital programme</w:t>
      </w:r>
      <w:r w:rsidR="00943D26">
        <w:rPr>
          <w:rFonts w:cs="Arial"/>
          <w:bCs/>
        </w:rPr>
        <w:t xml:space="preserve"> in 2018/19 and £93k will be removed from the programme.</w:t>
      </w:r>
    </w:p>
    <w:p w:rsidR="00943D26" w:rsidRPr="00A51B2C" w:rsidRDefault="00943D26" w:rsidP="008C337C">
      <w:pPr>
        <w:pStyle w:val="ListParagraph"/>
        <w:ind w:left="567"/>
        <w:jc w:val="both"/>
        <w:rPr>
          <w:rFonts w:cs="Arial"/>
        </w:rPr>
      </w:pPr>
    </w:p>
    <w:p w:rsidR="00943D26" w:rsidRPr="00C86579" w:rsidRDefault="00B50B98">
      <w:pPr>
        <w:pStyle w:val="ListParagraph"/>
        <w:numPr>
          <w:ilvl w:val="0"/>
          <w:numId w:val="114"/>
        </w:numPr>
        <w:ind w:left="567" w:hanging="567"/>
        <w:jc w:val="both"/>
        <w:rPr>
          <w:rFonts w:cs="Arial"/>
        </w:rPr>
      </w:pPr>
      <w:r>
        <w:rPr>
          <w:rFonts w:cs="Arial"/>
          <w:bCs/>
        </w:rPr>
        <w:t xml:space="preserve">The £93k </w:t>
      </w:r>
      <w:r w:rsidR="00943D26" w:rsidRPr="00943D26">
        <w:rPr>
          <w:rFonts w:cs="Arial"/>
          <w:bCs/>
        </w:rPr>
        <w:t xml:space="preserve">underspend in Adults relates to Integrated Health Model and Mentis Pilot which have not progressed. In the event that Adults decide to go ahead with these projects then a new Business case will be raised. There </w:t>
      </w:r>
      <w:r w:rsidR="00CB44B6" w:rsidRPr="00943D26">
        <w:rPr>
          <w:rFonts w:cs="Arial"/>
          <w:bCs/>
        </w:rPr>
        <w:t>is no revenue implications</w:t>
      </w:r>
      <w:r w:rsidR="00943D26" w:rsidRPr="00943D26">
        <w:rPr>
          <w:rFonts w:cs="Arial"/>
          <w:bCs/>
        </w:rPr>
        <w:t xml:space="preserve"> as a result of this underspend</w:t>
      </w:r>
      <w:r w:rsidR="00943D26">
        <w:rPr>
          <w:rFonts w:cs="Arial"/>
          <w:bCs/>
        </w:rPr>
        <w:t>.</w:t>
      </w:r>
    </w:p>
    <w:p w:rsidR="00943D26" w:rsidRPr="00A51B2C" w:rsidRDefault="00943D26" w:rsidP="008C337C">
      <w:pPr>
        <w:pStyle w:val="ListParagraph"/>
        <w:ind w:left="567"/>
        <w:jc w:val="both"/>
        <w:rPr>
          <w:rFonts w:cs="Arial"/>
        </w:rPr>
      </w:pPr>
    </w:p>
    <w:p w:rsidR="00E15067" w:rsidRDefault="00E15067">
      <w:pPr>
        <w:pStyle w:val="ListParagraph"/>
        <w:spacing w:after="120"/>
        <w:ind w:left="709" w:hanging="142"/>
        <w:jc w:val="both"/>
        <w:rPr>
          <w:b/>
          <w:bCs/>
          <w:sz w:val="20"/>
        </w:rPr>
      </w:pPr>
    </w:p>
    <w:p w:rsidR="00FE1BA8" w:rsidRDefault="00FE1BA8">
      <w:pPr>
        <w:pStyle w:val="ListParagraph"/>
        <w:spacing w:after="120"/>
        <w:ind w:left="709" w:hanging="142"/>
        <w:jc w:val="both"/>
        <w:rPr>
          <w:b/>
          <w:bCs/>
          <w:sz w:val="20"/>
        </w:rPr>
      </w:pPr>
      <w:r w:rsidRPr="008442F1">
        <w:rPr>
          <w:b/>
          <w:bCs/>
          <w:sz w:val="20"/>
        </w:rPr>
        <w:t>SCHOOLS</w:t>
      </w:r>
    </w:p>
    <w:p w:rsidR="00FE1BA8" w:rsidRPr="0019235D" w:rsidRDefault="00FE1BA8">
      <w:pPr>
        <w:pStyle w:val="ListParagraph"/>
        <w:numPr>
          <w:ilvl w:val="0"/>
          <w:numId w:val="114"/>
        </w:numPr>
        <w:ind w:left="567" w:hanging="567"/>
        <w:jc w:val="both"/>
        <w:rPr>
          <w:rFonts w:cs="Arial"/>
        </w:rPr>
      </w:pPr>
      <w:r w:rsidRPr="00FE1BA8">
        <w:rPr>
          <w:rFonts w:cs="Arial"/>
          <w:bCs/>
          <w:szCs w:val="24"/>
        </w:rPr>
        <w:t>A</w:t>
      </w:r>
      <w:r>
        <w:rPr>
          <w:rFonts w:cs="Arial"/>
          <w:bCs/>
          <w:szCs w:val="24"/>
        </w:rPr>
        <w:t>t</w:t>
      </w:r>
      <w:r w:rsidRPr="00FE1BA8">
        <w:rPr>
          <w:rFonts w:cs="Arial"/>
          <w:bCs/>
          <w:szCs w:val="24"/>
        </w:rPr>
        <w:t xml:space="preserve"> Quarter </w:t>
      </w:r>
      <w:r w:rsidR="00943D26">
        <w:rPr>
          <w:rFonts w:cs="Arial"/>
          <w:bCs/>
          <w:szCs w:val="24"/>
        </w:rPr>
        <w:t>2</w:t>
      </w:r>
      <w:r>
        <w:rPr>
          <w:rFonts w:cs="Arial"/>
          <w:bCs/>
          <w:szCs w:val="24"/>
        </w:rPr>
        <w:t xml:space="preserve"> the service is forecasting to spend £13.527m (</w:t>
      </w:r>
      <w:r w:rsidR="0010022D">
        <w:rPr>
          <w:rFonts w:cs="Arial"/>
          <w:bCs/>
          <w:szCs w:val="24"/>
        </w:rPr>
        <w:t>54</w:t>
      </w:r>
      <w:r w:rsidRPr="00FE1BA8">
        <w:rPr>
          <w:rFonts w:cs="Arial"/>
          <w:bCs/>
          <w:szCs w:val="24"/>
        </w:rPr>
        <w:t>%</w:t>
      </w:r>
      <w:r>
        <w:rPr>
          <w:rFonts w:cs="Arial"/>
          <w:bCs/>
          <w:szCs w:val="24"/>
        </w:rPr>
        <w:t>)</w:t>
      </w:r>
      <w:r w:rsidRPr="00FE1BA8">
        <w:rPr>
          <w:rFonts w:cs="Arial"/>
          <w:bCs/>
          <w:szCs w:val="24"/>
        </w:rPr>
        <w:t xml:space="preserve"> </w:t>
      </w:r>
      <w:r>
        <w:rPr>
          <w:rFonts w:cs="Arial"/>
          <w:bCs/>
          <w:szCs w:val="24"/>
        </w:rPr>
        <w:t>in</w:t>
      </w:r>
      <w:r w:rsidRPr="00FE1BA8">
        <w:rPr>
          <w:rFonts w:cs="Arial"/>
          <w:bCs/>
          <w:szCs w:val="24"/>
        </w:rPr>
        <w:t xml:space="preserve"> 201</w:t>
      </w:r>
      <w:r w:rsidR="00943D26">
        <w:rPr>
          <w:rFonts w:cs="Arial"/>
          <w:bCs/>
          <w:szCs w:val="24"/>
        </w:rPr>
        <w:t>8/19</w:t>
      </w:r>
      <w:r>
        <w:rPr>
          <w:rFonts w:cs="Arial"/>
          <w:bCs/>
          <w:szCs w:val="24"/>
        </w:rPr>
        <w:t xml:space="preserve"> and a budget slippage of (£11.660m)</w:t>
      </w:r>
      <w:r w:rsidR="00943D26">
        <w:rPr>
          <w:rFonts w:cs="Arial"/>
          <w:bCs/>
          <w:szCs w:val="24"/>
        </w:rPr>
        <w:t xml:space="preserve"> into 2019/20</w:t>
      </w:r>
      <w:r>
        <w:rPr>
          <w:rFonts w:cs="Arial"/>
          <w:bCs/>
          <w:szCs w:val="24"/>
        </w:rPr>
        <w:t>.</w:t>
      </w:r>
    </w:p>
    <w:p w:rsidR="00FE72DF" w:rsidRPr="00CB2C51" w:rsidRDefault="00FE72DF">
      <w:pPr>
        <w:pStyle w:val="ListParagraph"/>
        <w:ind w:left="567"/>
        <w:jc w:val="both"/>
        <w:rPr>
          <w:rFonts w:cs="Arial"/>
        </w:rPr>
      </w:pPr>
    </w:p>
    <w:p w:rsidR="00FE72DF" w:rsidRDefault="00FE72DF">
      <w:pPr>
        <w:pStyle w:val="ListParagraph"/>
        <w:numPr>
          <w:ilvl w:val="0"/>
          <w:numId w:val="114"/>
        </w:numPr>
        <w:ind w:left="567" w:hanging="567"/>
        <w:jc w:val="both"/>
        <w:rPr>
          <w:rFonts w:cs="Arial"/>
        </w:rPr>
      </w:pPr>
      <w:r w:rsidRPr="00FE72DF">
        <w:rPr>
          <w:rFonts w:cs="Arial"/>
        </w:rPr>
        <w:t>B</w:t>
      </w:r>
      <w:r w:rsidRPr="00BC03D5">
        <w:rPr>
          <w:rFonts w:cs="Arial"/>
          <w:b/>
        </w:rPr>
        <w:t xml:space="preserve">ulge Classes, Amalgamations &amp; Capital Maintenance </w:t>
      </w:r>
      <w:r>
        <w:rPr>
          <w:rFonts w:cs="Arial"/>
        </w:rPr>
        <w:t>- Bulge class funding is for schools opening temporary additional classes in year. Amalgamation funding is for infant and junior schools amalgamating in year. Capital maintenance is for reactive and proactive maintenance in respect of maintained schools. All of these projects are expected to spend within budget.</w:t>
      </w:r>
    </w:p>
    <w:p w:rsidR="00FE72DF" w:rsidRPr="0019235D" w:rsidRDefault="00FE72DF" w:rsidP="008C337C">
      <w:pPr>
        <w:pStyle w:val="ListParagraph"/>
        <w:jc w:val="both"/>
        <w:rPr>
          <w:rFonts w:cs="Arial"/>
        </w:rPr>
      </w:pPr>
    </w:p>
    <w:p w:rsidR="00FE72DF" w:rsidRDefault="00FE72DF">
      <w:pPr>
        <w:pStyle w:val="ListParagraph"/>
        <w:numPr>
          <w:ilvl w:val="0"/>
          <w:numId w:val="114"/>
        </w:numPr>
        <w:ind w:left="567" w:hanging="567"/>
        <w:jc w:val="both"/>
        <w:rPr>
          <w:rFonts w:cs="Arial"/>
        </w:rPr>
      </w:pPr>
      <w:r w:rsidRPr="00BC03D5">
        <w:rPr>
          <w:rFonts w:cs="Arial"/>
          <w:b/>
        </w:rPr>
        <w:t>School Expansion Programme (SEP) 2</w:t>
      </w:r>
      <w:r w:rsidRPr="00FE72DF">
        <w:rPr>
          <w:rFonts w:cs="Arial"/>
        </w:rPr>
        <w:t xml:space="preserve"> </w:t>
      </w:r>
      <w:r>
        <w:rPr>
          <w:rFonts w:cs="Arial"/>
        </w:rPr>
        <w:t>- Keepmoat (now</w:t>
      </w:r>
      <w:r w:rsidR="003E69E2">
        <w:rPr>
          <w:rFonts w:cs="Arial"/>
        </w:rPr>
        <w:t xml:space="preserve"> </w:t>
      </w:r>
      <w:r>
        <w:rPr>
          <w:rFonts w:cs="Arial"/>
        </w:rPr>
        <w:t>Engie)</w:t>
      </w:r>
      <w:r w:rsidRPr="009470A7">
        <w:rPr>
          <w:rFonts w:cs="Arial"/>
        </w:rPr>
        <w:t xml:space="preserve"> was commissioned to deliver the majority of the Phase 1 (SEP1) and Phase 2 (SEP2) construction projects.  The projects</w:t>
      </w:r>
      <w:r>
        <w:rPr>
          <w:rFonts w:cs="Arial"/>
        </w:rPr>
        <w:t xml:space="preserve"> have reached p</w:t>
      </w:r>
      <w:r w:rsidRPr="009470A7">
        <w:rPr>
          <w:rFonts w:cs="Arial"/>
        </w:rPr>
        <w:t xml:space="preserve">roject </w:t>
      </w:r>
      <w:r>
        <w:rPr>
          <w:rFonts w:cs="Arial"/>
        </w:rPr>
        <w:t>c</w:t>
      </w:r>
      <w:r w:rsidRPr="009470A7">
        <w:rPr>
          <w:rFonts w:cs="Arial"/>
        </w:rPr>
        <w:t xml:space="preserve">ompletion and the schools are occupying their new accommodation. </w:t>
      </w:r>
      <w:r>
        <w:rPr>
          <w:rFonts w:cs="Arial"/>
        </w:rPr>
        <w:t xml:space="preserve">There are a number of </w:t>
      </w:r>
      <w:r w:rsidRPr="009470A7">
        <w:rPr>
          <w:rFonts w:cs="Arial"/>
        </w:rPr>
        <w:t xml:space="preserve">building defects </w:t>
      </w:r>
      <w:r>
        <w:rPr>
          <w:rFonts w:cs="Arial"/>
        </w:rPr>
        <w:t>and</w:t>
      </w:r>
      <w:r w:rsidRPr="009470A7">
        <w:rPr>
          <w:rFonts w:cs="Arial"/>
        </w:rPr>
        <w:t xml:space="preserve"> on-going contractual issues </w:t>
      </w:r>
      <w:r>
        <w:rPr>
          <w:rFonts w:cs="Arial"/>
        </w:rPr>
        <w:t>and the council has appointed legal and c</w:t>
      </w:r>
      <w:r w:rsidRPr="009470A7">
        <w:rPr>
          <w:rFonts w:cs="Arial"/>
        </w:rPr>
        <w:t>ommercial advisers to secure</w:t>
      </w:r>
      <w:r>
        <w:rPr>
          <w:rFonts w:cs="Arial"/>
        </w:rPr>
        <w:t xml:space="preserve"> a</w:t>
      </w:r>
      <w:r w:rsidRPr="009470A7">
        <w:rPr>
          <w:rFonts w:cs="Arial"/>
        </w:rPr>
        <w:t xml:space="preserve"> resolution. For the purposes of budget monitoring these programmes are forecast to budget but there is a risk to the capital programme that the final outturn is higher than the budget</w:t>
      </w:r>
      <w:r>
        <w:rPr>
          <w:rFonts w:cs="Arial"/>
        </w:rPr>
        <w:t>.</w:t>
      </w:r>
    </w:p>
    <w:p w:rsidR="00FE72DF" w:rsidRPr="0019235D" w:rsidRDefault="00FE72DF" w:rsidP="008C337C">
      <w:pPr>
        <w:pStyle w:val="ListParagraph"/>
        <w:jc w:val="both"/>
        <w:rPr>
          <w:rFonts w:cs="Arial"/>
        </w:rPr>
      </w:pPr>
    </w:p>
    <w:p w:rsidR="00FE72DF" w:rsidRDefault="00FE72DF">
      <w:pPr>
        <w:pStyle w:val="ListParagraph"/>
        <w:numPr>
          <w:ilvl w:val="0"/>
          <w:numId w:val="114"/>
        </w:numPr>
        <w:ind w:left="567" w:hanging="567"/>
        <w:jc w:val="both"/>
        <w:rPr>
          <w:rFonts w:cs="Arial"/>
        </w:rPr>
      </w:pPr>
      <w:r w:rsidRPr="00BC03D5">
        <w:rPr>
          <w:rFonts w:cs="Arial"/>
          <w:b/>
        </w:rPr>
        <w:t>SEP 3</w:t>
      </w:r>
      <w:r>
        <w:rPr>
          <w:rFonts w:cs="Arial"/>
        </w:rPr>
        <w:t xml:space="preserve"> - </w:t>
      </w:r>
      <w:r w:rsidRPr="009470A7">
        <w:rPr>
          <w:rFonts w:cs="Arial"/>
        </w:rPr>
        <w:t xml:space="preserve">There are four school expansions over five school sites. Four of the projects are completed and the final scheme is scheduled </w:t>
      </w:r>
      <w:r>
        <w:rPr>
          <w:rFonts w:cs="Arial"/>
        </w:rPr>
        <w:t xml:space="preserve">to complete by </w:t>
      </w:r>
      <w:r w:rsidR="003E69E2">
        <w:rPr>
          <w:rFonts w:cs="Arial"/>
        </w:rPr>
        <w:t>autumn</w:t>
      </w:r>
      <w:r>
        <w:rPr>
          <w:rFonts w:cs="Arial"/>
        </w:rPr>
        <w:t xml:space="preserve"> 2018. This is anticipated to be completed within budget.</w:t>
      </w:r>
    </w:p>
    <w:p w:rsidR="00FE72DF" w:rsidRPr="0019235D" w:rsidRDefault="00FE72DF" w:rsidP="008C337C">
      <w:pPr>
        <w:pStyle w:val="ListParagraph"/>
        <w:jc w:val="both"/>
        <w:rPr>
          <w:rFonts w:cs="Arial"/>
        </w:rPr>
      </w:pPr>
    </w:p>
    <w:p w:rsidR="00FE72DF" w:rsidRPr="00FE72DF" w:rsidRDefault="00FE72DF" w:rsidP="008C337C">
      <w:pPr>
        <w:pStyle w:val="ListParagraph"/>
        <w:ind w:hanging="153"/>
        <w:jc w:val="both"/>
        <w:rPr>
          <w:rFonts w:cs="Arial"/>
          <w:b/>
        </w:rPr>
      </w:pPr>
      <w:r w:rsidRPr="00FE72DF">
        <w:rPr>
          <w:rFonts w:cs="Arial"/>
          <w:b/>
        </w:rPr>
        <w:t>Slippage</w:t>
      </w:r>
    </w:p>
    <w:p w:rsidR="00FE72DF" w:rsidRPr="0019235D" w:rsidRDefault="00FE72DF" w:rsidP="008C337C">
      <w:pPr>
        <w:pStyle w:val="ListParagraph"/>
        <w:jc w:val="both"/>
        <w:rPr>
          <w:rFonts w:cs="Arial"/>
        </w:rPr>
      </w:pPr>
    </w:p>
    <w:p w:rsidR="0017640E" w:rsidRDefault="00FE72DF">
      <w:pPr>
        <w:pStyle w:val="ListParagraph"/>
        <w:numPr>
          <w:ilvl w:val="0"/>
          <w:numId w:val="114"/>
        </w:numPr>
        <w:ind w:left="567" w:hanging="567"/>
        <w:jc w:val="both"/>
        <w:rPr>
          <w:rFonts w:cs="Arial"/>
        </w:rPr>
      </w:pPr>
      <w:r w:rsidRPr="00FE72DF">
        <w:rPr>
          <w:rFonts w:cs="Arial"/>
        </w:rPr>
        <w:t xml:space="preserve">The total slippage is £11.66m. </w:t>
      </w:r>
      <w:r w:rsidR="0017640E" w:rsidRPr="0017640E">
        <w:rPr>
          <w:rFonts w:cs="Arial"/>
        </w:rPr>
        <w:t>There are no revenue implications as a result of this slippage. The majority of these items are set out as follows</w:t>
      </w:r>
      <w:r w:rsidR="0017640E">
        <w:rPr>
          <w:rFonts w:cs="Arial"/>
        </w:rPr>
        <w:t>:</w:t>
      </w:r>
    </w:p>
    <w:p w:rsidR="0017640E" w:rsidRDefault="0017640E">
      <w:pPr>
        <w:pStyle w:val="ListParagraph"/>
        <w:ind w:left="567"/>
        <w:jc w:val="both"/>
        <w:rPr>
          <w:rFonts w:cs="Arial"/>
        </w:rPr>
      </w:pPr>
    </w:p>
    <w:p w:rsidR="00FE72DF" w:rsidRPr="00FE72DF" w:rsidRDefault="00FE72DF">
      <w:pPr>
        <w:pStyle w:val="ListParagraph"/>
        <w:numPr>
          <w:ilvl w:val="0"/>
          <w:numId w:val="114"/>
        </w:numPr>
        <w:ind w:left="567" w:hanging="567"/>
        <w:jc w:val="both"/>
        <w:rPr>
          <w:rFonts w:cs="Arial"/>
        </w:rPr>
      </w:pPr>
      <w:r w:rsidRPr="008C337C">
        <w:rPr>
          <w:rFonts w:cs="Arial"/>
          <w:b/>
        </w:rPr>
        <w:t>£6.8m</w:t>
      </w:r>
      <w:r w:rsidRPr="00FE72DF">
        <w:rPr>
          <w:rFonts w:cs="Arial"/>
        </w:rPr>
        <w:t xml:space="preserve"> relates to funding set aside for secondary expansions. As reported to Cabinet in July 2018 the projections for Year 7 places indicate that there will be a shortfall of up to 5 forms of entry in 2022/23. This reduces to 1 form of entry in 2025/26. However, at this time there are a higher number of Year 7 places than required which is resulting in vacancies being concentrated in a small number of schools. It is proposed to slip the funding to 2019</w:t>
      </w:r>
      <w:r w:rsidR="00140C99">
        <w:rPr>
          <w:rFonts w:cs="Arial"/>
        </w:rPr>
        <w:t>/</w:t>
      </w:r>
      <w:r w:rsidRPr="00FE72DF">
        <w:rPr>
          <w:rFonts w:cs="Arial"/>
        </w:rPr>
        <w:t>20 and ensure that the situation is monitored and that once there is greater clarity about changes on the borough boundaries that a local solution to meet the growing need is developed with the High Schools.</w:t>
      </w:r>
    </w:p>
    <w:p w:rsidR="00FE72DF" w:rsidRPr="00FE72DF" w:rsidRDefault="00FE72DF">
      <w:pPr>
        <w:pStyle w:val="ListParagraph"/>
        <w:ind w:left="502"/>
        <w:jc w:val="both"/>
        <w:rPr>
          <w:rFonts w:cs="Arial"/>
        </w:rPr>
      </w:pPr>
    </w:p>
    <w:p w:rsidR="00FE72DF" w:rsidRDefault="00FE72DF">
      <w:pPr>
        <w:pStyle w:val="ListParagraph"/>
        <w:numPr>
          <w:ilvl w:val="0"/>
          <w:numId w:val="114"/>
        </w:numPr>
        <w:ind w:left="567" w:hanging="567"/>
        <w:jc w:val="both"/>
        <w:rPr>
          <w:rFonts w:cs="Arial"/>
        </w:rPr>
      </w:pPr>
      <w:r w:rsidRPr="00FE72DF">
        <w:rPr>
          <w:rFonts w:cs="Arial"/>
        </w:rPr>
        <w:t xml:space="preserve">Special Educational Needs provision slippage totals </w:t>
      </w:r>
      <w:r w:rsidRPr="008C337C">
        <w:rPr>
          <w:rFonts w:cs="Arial"/>
          <w:b/>
        </w:rPr>
        <w:t>£4.5m</w:t>
      </w:r>
      <w:r w:rsidRPr="00FE72DF">
        <w:rPr>
          <w:rFonts w:cs="Arial"/>
        </w:rPr>
        <w:t>. Funding has been included in the capital programme to support additional in-borough SEN provision which is driven by the SEND Strategy. As part of the implantation of the strategy, a whole system review of in-borough provision will be undertaken in conjunction with the changing and growing needs of the population to inform additional in-borough solutions. It is possible some of this funding will be spent in 2018</w:t>
      </w:r>
      <w:r w:rsidR="00140C99">
        <w:rPr>
          <w:rFonts w:cs="Arial"/>
        </w:rPr>
        <w:t>/</w:t>
      </w:r>
      <w:r w:rsidRPr="00FE72DF">
        <w:rPr>
          <w:rFonts w:cs="Arial"/>
        </w:rPr>
        <w:t>19 but at this stage it is anticipated that the majority of this funding will be slipped to 2019</w:t>
      </w:r>
      <w:r w:rsidR="00140C99">
        <w:rPr>
          <w:rFonts w:cs="Arial"/>
        </w:rPr>
        <w:t>/</w:t>
      </w:r>
      <w:r w:rsidRPr="00FE72DF">
        <w:rPr>
          <w:rFonts w:cs="Arial"/>
        </w:rPr>
        <w:t xml:space="preserve">20. </w:t>
      </w:r>
    </w:p>
    <w:p w:rsidR="00FE72DF" w:rsidRPr="00FE72DF" w:rsidRDefault="00FE72DF">
      <w:pPr>
        <w:pStyle w:val="ListParagraph"/>
        <w:ind w:left="502"/>
        <w:jc w:val="both"/>
        <w:rPr>
          <w:rFonts w:cs="Arial"/>
        </w:rPr>
      </w:pPr>
    </w:p>
    <w:p w:rsidR="00FE72DF" w:rsidRPr="00FE72DF" w:rsidRDefault="00FE72DF">
      <w:pPr>
        <w:pStyle w:val="ListParagraph"/>
        <w:numPr>
          <w:ilvl w:val="0"/>
          <w:numId w:val="114"/>
        </w:numPr>
        <w:ind w:left="567" w:hanging="567"/>
        <w:jc w:val="both"/>
        <w:rPr>
          <w:rFonts w:cs="Arial"/>
        </w:rPr>
      </w:pPr>
      <w:r w:rsidRPr="00FE72DF">
        <w:rPr>
          <w:rFonts w:cs="Arial"/>
        </w:rPr>
        <w:t>The remainder of the slippage is for IT for which the full budget is not anticipated to be needed this financial year.</w:t>
      </w:r>
    </w:p>
    <w:p w:rsidR="004D1B4F" w:rsidRDefault="004D1B4F">
      <w:pPr>
        <w:pStyle w:val="ListParagraph"/>
        <w:ind w:left="788"/>
        <w:jc w:val="both"/>
        <w:rPr>
          <w:rFonts w:cs="Arial"/>
          <w:b/>
          <w:szCs w:val="24"/>
          <w:u w:val="single"/>
        </w:rPr>
      </w:pPr>
    </w:p>
    <w:p w:rsidR="00C17CE1" w:rsidRDefault="00C17CE1">
      <w:pPr>
        <w:pStyle w:val="ListParagraph"/>
        <w:ind w:left="788"/>
        <w:jc w:val="both"/>
        <w:rPr>
          <w:rFonts w:cs="Arial"/>
          <w:b/>
          <w:szCs w:val="24"/>
          <w:u w:val="single"/>
        </w:rPr>
      </w:pPr>
    </w:p>
    <w:p w:rsidR="005A4DF8" w:rsidRDefault="005A4DF8" w:rsidP="008C337C">
      <w:pPr>
        <w:rPr>
          <w:rFonts w:cs="Arial"/>
          <w:b/>
          <w:szCs w:val="24"/>
        </w:rPr>
      </w:pPr>
    </w:p>
    <w:p w:rsidR="00673E15" w:rsidRPr="008C337C" w:rsidRDefault="003E69E2" w:rsidP="008C337C">
      <w:pPr>
        <w:rPr>
          <w:b/>
          <w:u w:val="single"/>
        </w:rPr>
      </w:pPr>
      <w:r w:rsidRPr="008C337C">
        <w:rPr>
          <w:rFonts w:cs="Arial"/>
          <w:b/>
          <w:szCs w:val="24"/>
        </w:rPr>
        <w:t xml:space="preserve">        </w:t>
      </w:r>
      <w:r w:rsidR="00673E15" w:rsidRPr="008C337C">
        <w:rPr>
          <w:b/>
          <w:u w:val="single"/>
        </w:rPr>
        <w:t xml:space="preserve">Housing Revenue Account </w:t>
      </w:r>
    </w:p>
    <w:p w:rsidR="00673E15" w:rsidRPr="00B50B98" w:rsidRDefault="00673E15">
      <w:pPr>
        <w:pStyle w:val="ListParagraph"/>
        <w:ind w:left="788"/>
        <w:jc w:val="both"/>
        <w:rPr>
          <w:rFonts w:cs="Arial"/>
          <w:b/>
          <w:szCs w:val="24"/>
          <w:u w:val="single"/>
        </w:rPr>
      </w:pPr>
    </w:p>
    <w:p w:rsidR="00673E15" w:rsidRPr="00B50B98" w:rsidRDefault="00673E15">
      <w:pPr>
        <w:pStyle w:val="ListParagraph"/>
        <w:numPr>
          <w:ilvl w:val="0"/>
          <w:numId w:val="114"/>
        </w:numPr>
        <w:ind w:left="567" w:hanging="567"/>
        <w:jc w:val="both"/>
        <w:rPr>
          <w:rFonts w:cs="Arial"/>
        </w:rPr>
      </w:pPr>
      <w:r w:rsidRPr="00B50B98">
        <w:rPr>
          <w:rFonts w:cs="Arial"/>
        </w:rPr>
        <w:t xml:space="preserve">At Quarter </w:t>
      </w:r>
      <w:r w:rsidR="00F8400C" w:rsidRPr="008C337C">
        <w:rPr>
          <w:rFonts w:cs="Arial"/>
        </w:rPr>
        <w:t>2</w:t>
      </w:r>
      <w:r w:rsidRPr="00B50B98">
        <w:rPr>
          <w:rFonts w:cs="Arial"/>
        </w:rPr>
        <w:t>, outturn forecast for Housing Revenue Account is £1</w:t>
      </w:r>
      <w:r w:rsidR="008E6909" w:rsidRPr="00B50B98">
        <w:rPr>
          <w:rFonts w:cs="Arial"/>
        </w:rPr>
        <w:t>0.</w:t>
      </w:r>
      <w:r w:rsidR="00F8400C" w:rsidRPr="008C337C">
        <w:rPr>
          <w:rFonts w:cs="Arial"/>
        </w:rPr>
        <w:t>380</w:t>
      </w:r>
      <w:r w:rsidRPr="00B50B98">
        <w:rPr>
          <w:rFonts w:cs="Arial"/>
        </w:rPr>
        <w:t>m resulting in forecast variance (£</w:t>
      </w:r>
      <w:r w:rsidR="007A74D1" w:rsidRPr="00B50B98">
        <w:rPr>
          <w:rFonts w:cs="Arial"/>
        </w:rPr>
        <w:t>1</w:t>
      </w:r>
      <w:r w:rsidR="00B50B98" w:rsidRPr="008C337C">
        <w:rPr>
          <w:rFonts w:cs="Arial"/>
        </w:rPr>
        <w:t>0.959</w:t>
      </w:r>
      <w:r w:rsidRPr="00B50B98">
        <w:rPr>
          <w:rFonts w:cs="Arial"/>
        </w:rPr>
        <w:t>m) of which £</w:t>
      </w:r>
      <w:r w:rsidR="00B50B98" w:rsidRPr="008C337C">
        <w:rPr>
          <w:rFonts w:cs="Arial"/>
        </w:rPr>
        <w:t>6.965</w:t>
      </w:r>
      <w:r w:rsidRPr="00B50B98">
        <w:rPr>
          <w:rFonts w:cs="Arial"/>
        </w:rPr>
        <w:t>m will be slipped into 2019/20</w:t>
      </w:r>
      <w:r w:rsidR="007A74D1" w:rsidRPr="00B50B98">
        <w:rPr>
          <w:rFonts w:cs="Arial"/>
        </w:rPr>
        <w:t xml:space="preserve"> and £</w:t>
      </w:r>
      <w:r w:rsidR="00B50B98" w:rsidRPr="008C337C">
        <w:rPr>
          <w:rFonts w:cs="Arial"/>
        </w:rPr>
        <w:t>3.994</w:t>
      </w:r>
      <w:r w:rsidRPr="00B50B98">
        <w:rPr>
          <w:rFonts w:cs="Arial"/>
        </w:rPr>
        <w:t>m will be removed from the programme.</w:t>
      </w:r>
    </w:p>
    <w:p w:rsidR="008E6909" w:rsidRPr="008C337C" w:rsidRDefault="008E6909">
      <w:pPr>
        <w:pStyle w:val="ListParagraph"/>
        <w:ind w:left="567"/>
        <w:jc w:val="both"/>
        <w:rPr>
          <w:rFonts w:cs="Arial"/>
          <w:highlight w:val="yellow"/>
        </w:rPr>
      </w:pPr>
    </w:p>
    <w:p w:rsidR="008E6909" w:rsidRPr="008C337C" w:rsidRDefault="008E6909">
      <w:pPr>
        <w:pStyle w:val="ListParagraph"/>
        <w:numPr>
          <w:ilvl w:val="0"/>
          <w:numId w:val="114"/>
        </w:numPr>
        <w:ind w:left="567" w:hanging="567"/>
        <w:jc w:val="both"/>
        <w:rPr>
          <w:rFonts w:cs="Arial"/>
        </w:rPr>
      </w:pPr>
      <w:r w:rsidRPr="008C337C">
        <w:rPr>
          <w:rFonts w:cs="Arial"/>
          <w:b/>
        </w:rPr>
        <w:t>£</w:t>
      </w:r>
      <w:r w:rsidR="00DB5420">
        <w:rPr>
          <w:rFonts w:cs="Arial"/>
          <w:b/>
        </w:rPr>
        <w:t>6.965</w:t>
      </w:r>
      <w:r w:rsidRPr="008C337C">
        <w:rPr>
          <w:rFonts w:cs="Arial"/>
          <w:b/>
        </w:rPr>
        <w:t xml:space="preserve">m </w:t>
      </w:r>
      <w:r w:rsidRPr="00705697">
        <w:rPr>
          <w:rFonts w:cs="Arial"/>
        </w:rPr>
        <w:t>slippage includes £5.</w:t>
      </w:r>
      <w:r w:rsidR="00B50B98" w:rsidRPr="008C337C">
        <w:rPr>
          <w:rFonts w:cs="Arial"/>
        </w:rPr>
        <w:t>391</w:t>
      </w:r>
      <w:r w:rsidRPr="00705697">
        <w:rPr>
          <w:rFonts w:cs="Arial"/>
        </w:rPr>
        <w:t xml:space="preserve">m for Grange Farm, which now has planning permission and is moving into the procurement phase; the balance relates to the Infill programme which has been delayed following withdrawal of borrowing approvals, this is being addressed by the Council as part of a spectrum of proposals to </w:t>
      </w:r>
      <w:r w:rsidR="00705697" w:rsidRPr="00705697">
        <w:rPr>
          <w:rFonts w:cs="Arial"/>
        </w:rPr>
        <w:t>Government to</w:t>
      </w:r>
      <w:r w:rsidRPr="00705697">
        <w:rPr>
          <w:rFonts w:cs="Arial"/>
        </w:rPr>
        <w:t xml:space="preserve"> free up capital resources and additional borrowing to expedite new build across the capital.</w:t>
      </w:r>
    </w:p>
    <w:p w:rsidR="00705697" w:rsidRPr="00A51B2C" w:rsidRDefault="00705697" w:rsidP="008C337C">
      <w:pPr>
        <w:pStyle w:val="ListParagraph"/>
        <w:jc w:val="both"/>
        <w:rPr>
          <w:rFonts w:cs="Arial"/>
          <w:highlight w:val="yellow"/>
        </w:rPr>
      </w:pPr>
    </w:p>
    <w:p w:rsidR="00705697" w:rsidRPr="008C337C" w:rsidRDefault="00705697" w:rsidP="008C337C">
      <w:pPr>
        <w:pStyle w:val="ListParagraph"/>
        <w:numPr>
          <w:ilvl w:val="0"/>
          <w:numId w:val="114"/>
        </w:numPr>
        <w:ind w:hanging="644"/>
        <w:jc w:val="both"/>
        <w:rPr>
          <w:rFonts w:cs="Arial"/>
        </w:rPr>
      </w:pPr>
      <w:r w:rsidRPr="008C337C">
        <w:rPr>
          <w:rFonts w:cs="Arial"/>
          <w:b/>
        </w:rPr>
        <w:t>£3.994m</w:t>
      </w:r>
      <w:r w:rsidRPr="008C337C">
        <w:rPr>
          <w:rFonts w:cs="Arial"/>
        </w:rPr>
        <w:t xml:space="preserve"> underspend includes £</w:t>
      </w:r>
      <w:r w:rsidRPr="00DB5420">
        <w:rPr>
          <w:rFonts w:cs="Arial"/>
        </w:rPr>
        <w:t>0.</w:t>
      </w:r>
      <w:r w:rsidRPr="008C337C">
        <w:rPr>
          <w:rFonts w:cs="Arial"/>
        </w:rPr>
        <w:t>420</w:t>
      </w:r>
      <w:r w:rsidRPr="00DB5420">
        <w:rPr>
          <w:rFonts w:cs="Arial"/>
        </w:rPr>
        <w:t>m</w:t>
      </w:r>
      <w:r w:rsidRPr="008C337C">
        <w:rPr>
          <w:rFonts w:cs="Arial"/>
        </w:rPr>
        <w:t xml:space="preserve"> for planned investment works and £3.574m for Infill schemes originally part funded from borrowing which will not be assumed to continue until they are approved as part of the final HRA budget in February 2019. This is because these schemes were not assumed to have funding as at </w:t>
      </w:r>
      <w:proofErr w:type="spellStart"/>
      <w:r w:rsidRPr="008C337C">
        <w:rPr>
          <w:rFonts w:cs="Arial"/>
        </w:rPr>
        <w:t>Qtr</w:t>
      </w:r>
      <w:proofErr w:type="spellEnd"/>
      <w:r w:rsidRPr="008C337C">
        <w:rPr>
          <w:rFonts w:cs="Arial"/>
        </w:rPr>
        <w:t xml:space="preserve"> 2 but</w:t>
      </w:r>
      <w:r>
        <w:rPr>
          <w:rFonts w:cs="Arial"/>
        </w:rPr>
        <w:t xml:space="preserve"> will be updated </w:t>
      </w:r>
      <w:r w:rsidRPr="008C337C">
        <w:rPr>
          <w:rFonts w:cs="Arial"/>
        </w:rPr>
        <w:t xml:space="preserve">for the February </w:t>
      </w:r>
      <w:r w:rsidRPr="00705697">
        <w:rPr>
          <w:rFonts w:cs="Arial"/>
        </w:rPr>
        <w:t xml:space="preserve">Cabinet </w:t>
      </w:r>
      <w:r>
        <w:rPr>
          <w:rFonts w:cs="Arial"/>
        </w:rPr>
        <w:t xml:space="preserve">if the position changes </w:t>
      </w:r>
      <w:r w:rsidRPr="008C337C">
        <w:rPr>
          <w:rFonts w:cs="Arial"/>
        </w:rPr>
        <w:t>when the final HRA Budget report will be submitted to Cabinet for approval.</w:t>
      </w:r>
    </w:p>
    <w:p w:rsidR="008E6909" w:rsidRPr="008C337C" w:rsidRDefault="008E6909" w:rsidP="008C337C">
      <w:pPr>
        <w:pStyle w:val="ListParagraph"/>
        <w:jc w:val="both"/>
        <w:rPr>
          <w:rFonts w:cs="Arial"/>
          <w:highlight w:val="yellow"/>
        </w:rPr>
      </w:pPr>
    </w:p>
    <w:p w:rsidR="008E6909" w:rsidRPr="00705697" w:rsidRDefault="008E6909">
      <w:pPr>
        <w:pStyle w:val="ListParagraph"/>
        <w:numPr>
          <w:ilvl w:val="0"/>
          <w:numId w:val="114"/>
        </w:numPr>
        <w:ind w:left="567" w:hanging="567"/>
        <w:jc w:val="both"/>
        <w:rPr>
          <w:rFonts w:cs="Arial"/>
        </w:rPr>
      </w:pPr>
      <w:r w:rsidRPr="00705697">
        <w:rPr>
          <w:rFonts w:cs="Arial"/>
        </w:rPr>
        <w:t>Slippage will result in delays in construction of new units in Grange Farm and Infill sites. There will be no significant impact on statutory and health &amp; safety works as these have been prioritised in the main planned investment programme.</w:t>
      </w:r>
    </w:p>
    <w:p w:rsidR="008D2420" w:rsidRDefault="008D2420" w:rsidP="008C337C">
      <w:pPr>
        <w:pStyle w:val="ListParagraph"/>
        <w:ind w:left="709"/>
        <w:jc w:val="both"/>
        <w:rPr>
          <w:rFonts w:cs="Arial"/>
          <w:b/>
          <w:szCs w:val="24"/>
          <w:u w:val="single"/>
        </w:rPr>
      </w:pPr>
    </w:p>
    <w:p w:rsidR="009F569E" w:rsidRDefault="009F569E" w:rsidP="008C337C">
      <w:pPr>
        <w:pStyle w:val="ListParagraph"/>
        <w:ind w:left="709"/>
        <w:jc w:val="both"/>
        <w:rPr>
          <w:rFonts w:cs="Arial"/>
          <w:b/>
          <w:szCs w:val="24"/>
          <w:u w:val="single"/>
        </w:rPr>
      </w:pPr>
    </w:p>
    <w:p w:rsidR="00673E15" w:rsidRPr="000A2CF3" w:rsidRDefault="00673E15" w:rsidP="008C337C">
      <w:pPr>
        <w:pStyle w:val="ListParagraph"/>
        <w:ind w:left="567"/>
        <w:jc w:val="both"/>
        <w:rPr>
          <w:rFonts w:cs="Arial"/>
          <w:b/>
          <w:szCs w:val="24"/>
          <w:u w:val="single"/>
        </w:rPr>
      </w:pPr>
      <w:r w:rsidRPr="000A2CF3">
        <w:rPr>
          <w:rFonts w:cs="Arial"/>
          <w:b/>
          <w:szCs w:val="24"/>
          <w:u w:val="single"/>
        </w:rPr>
        <w:t>AMENDMENTS TO THE CAPITAL PROGRAMME</w:t>
      </w:r>
    </w:p>
    <w:p w:rsidR="00673E15" w:rsidRDefault="00673E15" w:rsidP="008C337C">
      <w:pPr>
        <w:pStyle w:val="ListParagraph"/>
        <w:ind w:left="709"/>
        <w:jc w:val="both"/>
        <w:rPr>
          <w:rFonts w:cs="Arial"/>
          <w:b/>
          <w:i/>
          <w:szCs w:val="24"/>
          <w:u w:val="single"/>
        </w:rPr>
      </w:pPr>
    </w:p>
    <w:p w:rsidR="00E9767D" w:rsidRDefault="00E9767D">
      <w:pPr>
        <w:pStyle w:val="ListParagraph"/>
        <w:ind w:left="567"/>
        <w:jc w:val="both"/>
        <w:rPr>
          <w:rFonts w:cs="Arial"/>
          <w:b/>
          <w:i/>
          <w:u w:val="single"/>
        </w:rPr>
      </w:pPr>
      <w:r w:rsidRPr="00674185">
        <w:rPr>
          <w:rFonts w:cs="Arial"/>
          <w:b/>
          <w:i/>
          <w:u w:val="single"/>
        </w:rPr>
        <w:t>Addition to Capital Programme</w:t>
      </w:r>
    </w:p>
    <w:p w:rsidR="00943D26" w:rsidRPr="00A51B2C" w:rsidRDefault="00943D26">
      <w:pPr>
        <w:pStyle w:val="ListParagraph"/>
        <w:numPr>
          <w:ilvl w:val="0"/>
          <w:numId w:val="114"/>
        </w:numPr>
        <w:ind w:left="567" w:hanging="567"/>
        <w:jc w:val="both"/>
        <w:rPr>
          <w:rFonts w:cs="Arial"/>
        </w:rPr>
      </w:pPr>
      <w:r w:rsidRPr="00943D26">
        <w:rPr>
          <w:rFonts w:cs="Arial"/>
          <w:bCs/>
          <w:szCs w:val="24"/>
        </w:rPr>
        <w:t xml:space="preserve">There is currently a budget allocation of £1.269m in the </w:t>
      </w:r>
      <w:r w:rsidR="00DB5420">
        <w:rPr>
          <w:rFonts w:cs="Arial"/>
          <w:bCs/>
          <w:szCs w:val="24"/>
        </w:rPr>
        <w:t>20</w:t>
      </w:r>
      <w:r w:rsidRPr="00943D26">
        <w:rPr>
          <w:rFonts w:cs="Arial"/>
          <w:bCs/>
          <w:szCs w:val="24"/>
        </w:rPr>
        <w:t>18/19 capital programme for Local Implementation Plan (LIP). LIP is funded by Transport for London (TfL). A further funding of £</w:t>
      </w:r>
      <w:r w:rsidR="00B97305">
        <w:rPr>
          <w:rFonts w:cs="Arial"/>
          <w:bCs/>
          <w:szCs w:val="24"/>
        </w:rPr>
        <w:t>0.</w:t>
      </w:r>
      <w:r w:rsidRPr="00943D26">
        <w:rPr>
          <w:rFonts w:cs="Arial"/>
          <w:bCs/>
          <w:szCs w:val="24"/>
        </w:rPr>
        <w:t>115</w:t>
      </w:r>
      <w:r w:rsidR="00B97305">
        <w:rPr>
          <w:rFonts w:cs="Arial"/>
          <w:bCs/>
          <w:szCs w:val="24"/>
        </w:rPr>
        <w:t>m</w:t>
      </w:r>
      <w:r w:rsidRPr="00943D26">
        <w:rPr>
          <w:rFonts w:cs="Arial"/>
          <w:bCs/>
          <w:szCs w:val="24"/>
        </w:rPr>
        <w:t xml:space="preserve"> has been allocated following a successful bid to TfL to undertake carriageway widening works on High Road Harrow Weald, therefore the capital element of the LIP funding is now £1.384m. It is requested </w:t>
      </w:r>
      <w:r w:rsidR="003E69E2" w:rsidRPr="00943D26">
        <w:rPr>
          <w:rFonts w:cs="Arial"/>
          <w:bCs/>
          <w:szCs w:val="24"/>
        </w:rPr>
        <w:t xml:space="preserve">that </w:t>
      </w:r>
      <w:r w:rsidR="003E69E2">
        <w:rPr>
          <w:rFonts w:cs="Arial"/>
          <w:bCs/>
          <w:szCs w:val="24"/>
        </w:rPr>
        <w:t>£</w:t>
      </w:r>
      <w:r w:rsidR="001645AA">
        <w:rPr>
          <w:rFonts w:cs="Arial"/>
          <w:bCs/>
          <w:szCs w:val="24"/>
        </w:rPr>
        <w:t>0.115m be added to the LIP programme in 2018/19.</w:t>
      </w:r>
    </w:p>
    <w:p w:rsidR="00C52784" w:rsidRPr="00C86579" w:rsidRDefault="00C52784" w:rsidP="008C337C">
      <w:pPr>
        <w:pStyle w:val="ListParagraph"/>
        <w:ind w:left="567"/>
        <w:jc w:val="both"/>
        <w:rPr>
          <w:rFonts w:cs="Arial"/>
        </w:rPr>
      </w:pPr>
    </w:p>
    <w:p w:rsidR="00943D26" w:rsidRPr="00C86579" w:rsidRDefault="00943D26">
      <w:pPr>
        <w:pStyle w:val="ListParagraph"/>
        <w:numPr>
          <w:ilvl w:val="0"/>
          <w:numId w:val="114"/>
        </w:numPr>
        <w:ind w:left="567" w:hanging="567"/>
        <w:jc w:val="both"/>
        <w:rPr>
          <w:rFonts w:cs="Arial"/>
        </w:rPr>
      </w:pPr>
      <w:r w:rsidRPr="00943D26">
        <w:rPr>
          <w:rFonts w:cs="Arial"/>
        </w:rPr>
        <w:t xml:space="preserve">S106 developer’s contributions will be used to support the following highway schemes in </w:t>
      </w:r>
      <w:r w:rsidR="00DB5420">
        <w:rPr>
          <w:rFonts w:cs="Arial"/>
        </w:rPr>
        <w:t>20</w:t>
      </w:r>
      <w:r w:rsidRPr="00943D26">
        <w:rPr>
          <w:rFonts w:cs="Arial"/>
        </w:rPr>
        <w:t>18/19</w:t>
      </w:r>
    </w:p>
    <w:p w:rsidR="00943D26" w:rsidRPr="008C337C" w:rsidRDefault="00943D26" w:rsidP="008C337C">
      <w:pPr>
        <w:pStyle w:val="ListParagraph"/>
        <w:numPr>
          <w:ilvl w:val="0"/>
          <w:numId w:val="166"/>
        </w:numPr>
        <w:ind w:left="1134"/>
        <w:contextualSpacing w:val="0"/>
        <w:jc w:val="both"/>
      </w:pPr>
      <w:r w:rsidRPr="008C337C">
        <w:t xml:space="preserve">£20,800 for a local safety scheme in </w:t>
      </w:r>
      <w:proofErr w:type="spellStart"/>
      <w:r w:rsidRPr="008C337C">
        <w:t>Oxhey</w:t>
      </w:r>
      <w:proofErr w:type="spellEnd"/>
      <w:r w:rsidRPr="008C337C">
        <w:t xml:space="preserve"> Lane</w:t>
      </w:r>
    </w:p>
    <w:p w:rsidR="00943D26" w:rsidRPr="0059129E" w:rsidRDefault="00943D26" w:rsidP="008C337C">
      <w:pPr>
        <w:pStyle w:val="ListParagraph"/>
        <w:numPr>
          <w:ilvl w:val="0"/>
          <w:numId w:val="166"/>
        </w:numPr>
        <w:ind w:left="1134"/>
        <w:jc w:val="both"/>
      </w:pPr>
      <w:r w:rsidRPr="0059129E">
        <w:t>£50,000 for physical works in College Road</w:t>
      </w:r>
    </w:p>
    <w:p w:rsidR="00C52784" w:rsidRPr="008C337C" w:rsidRDefault="0059129E" w:rsidP="008C337C">
      <w:pPr>
        <w:ind w:left="567"/>
        <w:jc w:val="both"/>
      </w:pPr>
      <w:r w:rsidRPr="008C337C">
        <w:t xml:space="preserve"> </w:t>
      </w:r>
      <w:r w:rsidR="00943D26" w:rsidRPr="008C337C">
        <w:t xml:space="preserve">It is therefore requested that </w:t>
      </w:r>
      <w:r w:rsidR="00DD6CE8" w:rsidRPr="008C337C">
        <w:rPr>
          <w:b/>
        </w:rPr>
        <w:t>£70,800</w:t>
      </w:r>
      <w:r w:rsidR="00DD6CE8">
        <w:t xml:space="preserve"> be added </w:t>
      </w:r>
      <w:r w:rsidR="001645AA">
        <w:t>to the highway programme in 2018/19.</w:t>
      </w:r>
    </w:p>
    <w:p w:rsidR="000D0B77" w:rsidRPr="009E69CE" w:rsidRDefault="000D0B77" w:rsidP="008C337C">
      <w:pPr>
        <w:pStyle w:val="ListParagraph"/>
        <w:jc w:val="both"/>
        <w:rPr>
          <w:rFonts w:cs="Arial"/>
        </w:rPr>
      </w:pPr>
    </w:p>
    <w:p w:rsidR="000D0B77" w:rsidRPr="00531831" w:rsidRDefault="000D0B77">
      <w:pPr>
        <w:pStyle w:val="ListParagraph"/>
        <w:numPr>
          <w:ilvl w:val="0"/>
          <w:numId w:val="114"/>
        </w:numPr>
        <w:ind w:left="567" w:hanging="567"/>
        <w:jc w:val="both"/>
        <w:rPr>
          <w:rFonts w:cs="Arial"/>
        </w:rPr>
      </w:pPr>
      <w:r w:rsidRPr="000D0B77">
        <w:rPr>
          <w:rFonts w:cs="Arial"/>
          <w:bCs/>
          <w:lang w:val="en-US"/>
        </w:rPr>
        <w:t>The council has received national funding from the soft drinks levy (sugar tax) called the Healthy Pupil Capital Fund (HPCF).  This is a one off payment and must be used to imp</w:t>
      </w:r>
      <w:r w:rsidRPr="00C549E3">
        <w:rPr>
          <w:rFonts w:cs="Arial"/>
          <w:bCs/>
          <w:lang w:val="en-US"/>
        </w:rPr>
        <w:t>rove health and wellbeing in schools. The fund will be used t</w:t>
      </w:r>
      <w:r w:rsidRPr="008C337C">
        <w:rPr>
          <w:rFonts w:cs="Arial"/>
          <w:bCs/>
          <w:lang w:val="en-US"/>
        </w:rPr>
        <w:t>o identify an important public health issue and an intervention to address it.  In this case, the issues are child hood obesity and poor oral health and the intervention would be to reduce the amount of sugary drinks consumed by improving access to water fountains in schools. It is therefore</w:t>
      </w:r>
      <w:r w:rsidR="00DB5420">
        <w:rPr>
          <w:rFonts w:cs="Arial"/>
          <w:bCs/>
          <w:lang w:val="en-US"/>
        </w:rPr>
        <w:t xml:space="preserve"> request</w:t>
      </w:r>
      <w:r w:rsidR="007B3DE0">
        <w:rPr>
          <w:rFonts w:cs="Arial"/>
          <w:bCs/>
          <w:lang w:val="en-US"/>
        </w:rPr>
        <w:t>ed</w:t>
      </w:r>
      <w:r w:rsidR="00DB5420">
        <w:rPr>
          <w:rFonts w:cs="Arial"/>
          <w:bCs/>
          <w:lang w:val="en-US"/>
        </w:rPr>
        <w:t xml:space="preserve"> </w:t>
      </w:r>
      <w:r w:rsidR="00C549E3">
        <w:rPr>
          <w:rFonts w:cs="Arial"/>
          <w:bCs/>
          <w:lang w:val="en-US"/>
        </w:rPr>
        <w:t>t</w:t>
      </w:r>
      <w:r w:rsidR="00DB5420">
        <w:rPr>
          <w:rFonts w:cs="Arial"/>
          <w:bCs/>
          <w:lang w:val="en-US"/>
        </w:rPr>
        <w:t xml:space="preserve">hat </w:t>
      </w:r>
      <w:r w:rsidR="007B3DE0">
        <w:rPr>
          <w:rFonts w:cs="Arial"/>
          <w:bCs/>
          <w:lang w:val="en-US"/>
        </w:rPr>
        <w:t xml:space="preserve">a new </w:t>
      </w:r>
      <w:proofErr w:type="spellStart"/>
      <w:r w:rsidR="007B3DE0">
        <w:rPr>
          <w:rFonts w:cs="Arial"/>
          <w:bCs/>
          <w:lang w:val="en-US"/>
        </w:rPr>
        <w:t>programme</w:t>
      </w:r>
      <w:proofErr w:type="spellEnd"/>
      <w:r w:rsidR="007B3DE0">
        <w:rPr>
          <w:rFonts w:cs="Arial"/>
          <w:bCs/>
          <w:lang w:val="en-US"/>
        </w:rPr>
        <w:t xml:space="preserve"> budget called water fountains</w:t>
      </w:r>
      <w:r w:rsidR="00FD35BE">
        <w:rPr>
          <w:rFonts w:cs="Arial"/>
          <w:bCs/>
          <w:lang w:val="en-US"/>
        </w:rPr>
        <w:t xml:space="preserve"> of £0.174m</w:t>
      </w:r>
      <w:r w:rsidR="007B3DE0">
        <w:rPr>
          <w:rFonts w:cs="Arial"/>
          <w:bCs/>
          <w:lang w:val="en-US"/>
        </w:rPr>
        <w:t xml:space="preserve"> be added to the </w:t>
      </w:r>
      <w:r w:rsidR="003E69E2">
        <w:rPr>
          <w:rFonts w:cs="Arial"/>
          <w:bCs/>
          <w:lang w:val="en-US"/>
        </w:rPr>
        <w:t xml:space="preserve">2018/19 </w:t>
      </w:r>
      <w:r w:rsidR="00C549E3">
        <w:rPr>
          <w:rFonts w:cs="Arial"/>
          <w:bCs/>
          <w:lang w:val="en-US"/>
        </w:rPr>
        <w:t>c</w:t>
      </w:r>
      <w:r w:rsidRPr="008C337C">
        <w:rPr>
          <w:rFonts w:cs="Arial"/>
          <w:bCs/>
          <w:lang w:val="en-US"/>
        </w:rPr>
        <w:t xml:space="preserve">apital </w:t>
      </w:r>
      <w:proofErr w:type="spellStart"/>
      <w:r w:rsidR="00C549E3">
        <w:rPr>
          <w:rFonts w:cs="Arial"/>
          <w:bCs/>
          <w:lang w:val="en-US"/>
        </w:rPr>
        <w:t>programme</w:t>
      </w:r>
      <w:proofErr w:type="spellEnd"/>
      <w:r w:rsidR="003E69E2">
        <w:rPr>
          <w:rFonts w:cs="Arial"/>
          <w:bCs/>
          <w:lang w:val="en-US"/>
        </w:rPr>
        <w:t>.</w:t>
      </w:r>
    </w:p>
    <w:p w:rsidR="0071770B" w:rsidRPr="004A3D22" w:rsidRDefault="0071770B" w:rsidP="00531831">
      <w:pPr>
        <w:pStyle w:val="ListParagraph"/>
        <w:rPr>
          <w:rFonts w:cs="Arial"/>
        </w:rPr>
      </w:pPr>
    </w:p>
    <w:p w:rsidR="0071770B" w:rsidRDefault="00162315">
      <w:pPr>
        <w:pStyle w:val="ListParagraph"/>
        <w:numPr>
          <w:ilvl w:val="0"/>
          <w:numId w:val="114"/>
        </w:numPr>
        <w:ind w:left="567" w:hanging="567"/>
        <w:jc w:val="both"/>
        <w:rPr>
          <w:rFonts w:cs="Arial"/>
        </w:rPr>
      </w:pPr>
      <w:r>
        <w:rPr>
          <w:rFonts w:cs="Arial"/>
        </w:rPr>
        <w:t xml:space="preserve">An addition is require for a project which </w:t>
      </w:r>
      <w:r w:rsidR="0071770B" w:rsidRPr="0071770B">
        <w:rPr>
          <w:rFonts w:cs="Arial"/>
        </w:rPr>
        <w:t>seeks to transform an underutilised and neglected green space into a brand new pocket park; this project will also create a gateway to a linear green space connecting a residential area with a bustling town centre. The total cost of the projec</w:t>
      </w:r>
      <w:r w:rsidR="004A3D22">
        <w:rPr>
          <w:rFonts w:cs="Arial"/>
        </w:rPr>
        <w:t>t is £25</w:t>
      </w:r>
      <w:r w:rsidR="0071770B" w:rsidRPr="0071770B">
        <w:rPr>
          <w:rFonts w:cs="Arial"/>
        </w:rPr>
        <w:t>k, the council has already applied for a grant of £19k from the Mayors Greener City Fund while the balance of £6k will be funded from the ward priority fund. It is therefore requested that a new programme calle</w:t>
      </w:r>
      <w:r w:rsidR="004A3D22">
        <w:rPr>
          <w:rFonts w:cs="Arial"/>
        </w:rPr>
        <w:t>d new pocket park project of £25</w:t>
      </w:r>
      <w:r w:rsidR="0071770B" w:rsidRPr="0071770B">
        <w:rPr>
          <w:rFonts w:cs="Arial"/>
        </w:rPr>
        <w:t>k is added to the 2018/19 capital programme. This addition is subject to the success of the £19k grant from the Mayors Greener City Fund</w:t>
      </w:r>
      <w:r w:rsidR="00A73D6D">
        <w:rPr>
          <w:rFonts w:cs="Arial"/>
        </w:rPr>
        <w:t>.</w:t>
      </w:r>
    </w:p>
    <w:p w:rsidR="00F15867" w:rsidRPr="00F15867" w:rsidRDefault="00F15867" w:rsidP="00A4009F">
      <w:pPr>
        <w:pStyle w:val="ListParagraph"/>
        <w:rPr>
          <w:rFonts w:cs="Arial"/>
        </w:rPr>
      </w:pPr>
    </w:p>
    <w:p w:rsidR="00F15867" w:rsidRDefault="00F15867">
      <w:pPr>
        <w:pStyle w:val="ListParagraph"/>
        <w:numPr>
          <w:ilvl w:val="0"/>
          <w:numId w:val="114"/>
        </w:numPr>
        <w:ind w:left="567" w:hanging="567"/>
        <w:jc w:val="both"/>
        <w:rPr>
          <w:rFonts w:cs="Arial"/>
        </w:rPr>
      </w:pPr>
      <w:r>
        <w:rPr>
          <w:rFonts w:cs="Arial"/>
        </w:rPr>
        <w:t xml:space="preserve">The Financial regulations allow for a total of </w:t>
      </w:r>
      <w:r w:rsidR="00ED6D1D">
        <w:rPr>
          <w:rFonts w:cs="Arial"/>
        </w:rPr>
        <w:t xml:space="preserve">£2.5m of additional </w:t>
      </w:r>
      <w:r>
        <w:rPr>
          <w:rFonts w:cs="Arial"/>
        </w:rPr>
        <w:t xml:space="preserve">Capital </w:t>
      </w:r>
      <w:r w:rsidR="00ED6D1D">
        <w:rPr>
          <w:rFonts w:cs="Arial"/>
        </w:rPr>
        <w:t xml:space="preserve">expenditure to be added to the Capital Programme (which is funded from external sources) </w:t>
      </w:r>
      <w:r>
        <w:rPr>
          <w:rFonts w:cs="Arial"/>
        </w:rPr>
        <w:t>during any one financial year</w:t>
      </w:r>
      <w:r w:rsidR="00ED6D1D">
        <w:rPr>
          <w:rFonts w:cs="Arial"/>
        </w:rPr>
        <w:t>.</w:t>
      </w:r>
      <w:r>
        <w:rPr>
          <w:rFonts w:cs="Arial"/>
        </w:rPr>
        <w:t xml:space="preserve">  To date taking into account the additions at paragraphs 3.38 to 3.41, a total of £</w:t>
      </w:r>
      <w:r w:rsidR="00484DAC">
        <w:rPr>
          <w:rFonts w:cs="Arial"/>
        </w:rPr>
        <w:t>1.733</w:t>
      </w:r>
      <w:r>
        <w:rPr>
          <w:rFonts w:cs="Arial"/>
        </w:rPr>
        <w:t>m has been added.</w:t>
      </w:r>
      <w:r w:rsidR="00E73A64">
        <w:rPr>
          <w:rFonts w:cs="Arial"/>
        </w:rPr>
        <w:t xml:space="preserve"> There </w:t>
      </w:r>
      <w:r w:rsidR="00F13EFF">
        <w:rPr>
          <w:rFonts w:cs="Arial"/>
        </w:rPr>
        <w:t xml:space="preserve">are 2 further additions </w:t>
      </w:r>
      <w:r w:rsidR="00E73A64">
        <w:rPr>
          <w:rFonts w:cs="Arial"/>
        </w:rPr>
        <w:t xml:space="preserve">of </w:t>
      </w:r>
      <w:r w:rsidR="00F13EFF">
        <w:rPr>
          <w:rFonts w:cs="Arial"/>
        </w:rPr>
        <w:t xml:space="preserve">capital required in relation to </w:t>
      </w:r>
      <w:r w:rsidR="00E73A64">
        <w:rPr>
          <w:rFonts w:cs="Arial"/>
        </w:rPr>
        <w:t xml:space="preserve">£545k for playground infrastructure replacement which will be funded from Borough Community Infrastructure Levy (BCIL) and £509k of funding </w:t>
      </w:r>
      <w:r w:rsidR="00ED6D1D">
        <w:rPr>
          <w:rFonts w:cs="Arial"/>
        </w:rPr>
        <w:t>to improve</w:t>
      </w:r>
      <w:r w:rsidR="00F13EFF">
        <w:rPr>
          <w:rFonts w:cs="Arial"/>
        </w:rPr>
        <w:t xml:space="preserve"> the Highway infrastructure </w:t>
      </w:r>
      <w:r w:rsidR="00E73A64">
        <w:rPr>
          <w:rFonts w:cs="Arial"/>
        </w:rPr>
        <w:t xml:space="preserve">which has been received from the Department of Transport as part of the </w:t>
      </w:r>
      <w:r w:rsidR="00ED6D1D">
        <w:rPr>
          <w:rFonts w:cs="Arial"/>
        </w:rPr>
        <w:t>October Budget announcement.</w:t>
      </w:r>
      <w:r w:rsidR="00F13EFF">
        <w:rPr>
          <w:rFonts w:cs="Arial"/>
        </w:rPr>
        <w:t xml:space="preserve">  The addition of these 2 items would bring the total additions to a value in excess of £2.5m, and so these 2 items were added by Council on 29</w:t>
      </w:r>
      <w:r w:rsidR="00F13EFF" w:rsidRPr="00A4009F">
        <w:rPr>
          <w:rFonts w:cs="Arial"/>
          <w:vertAlign w:val="superscript"/>
        </w:rPr>
        <w:t>th</w:t>
      </w:r>
      <w:r w:rsidR="00F13EFF">
        <w:rPr>
          <w:rFonts w:cs="Arial"/>
        </w:rPr>
        <w:t xml:space="preserve"> November 2018, in order for the Financial Regulations not to be breached.</w:t>
      </w:r>
    </w:p>
    <w:p w:rsidR="00B9295B" w:rsidRPr="00E52354" w:rsidRDefault="00B9295B" w:rsidP="00BC03D5">
      <w:pPr>
        <w:jc w:val="both"/>
        <w:rPr>
          <w:rFonts w:cs="Arial"/>
        </w:rPr>
      </w:pPr>
    </w:p>
    <w:p w:rsidR="00970D67" w:rsidRPr="00A165C1" w:rsidRDefault="00E7778C" w:rsidP="00A165C1">
      <w:pPr>
        <w:pStyle w:val="ListParagraph"/>
        <w:ind w:left="284" w:hanging="568"/>
        <w:jc w:val="both"/>
        <w:rPr>
          <w:rFonts w:cs="Arial"/>
          <w:b/>
        </w:rPr>
      </w:pPr>
      <w:r>
        <w:rPr>
          <w:rFonts w:cs="Arial"/>
          <w:b/>
        </w:rPr>
        <w:t>4</w:t>
      </w:r>
      <w:r w:rsidR="00917907" w:rsidRPr="00A165C1">
        <w:rPr>
          <w:rFonts w:cs="Arial"/>
          <w:b/>
        </w:rPr>
        <w:t>.0</w:t>
      </w:r>
      <w:r w:rsidR="00917907" w:rsidRPr="00A165C1">
        <w:rPr>
          <w:rFonts w:cs="Arial"/>
          <w:b/>
        </w:rPr>
        <w:tab/>
      </w:r>
      <w:proofErr w:type="spellStart"/>
      <w:r w:rsidR="00970D67" w:rsidRPr="00E52354">
        <w:rPr>
          <w:rFonts w:cs="Arial"/>
          <w:b/>
          <w:u w:val="single"/>
        </w:rPr>
        <w:t>Sancroft</w:t>
      </w:r>
      <w:proofErr w:type="spellEnd"/>
      <w:r w:rsidR="00970D67" w:rsidRPr="00E52354">
        <w:rPr>
          <w:rFonts w:cs="Arial"/>
          <w:b/>
          <w:u w:val="single"/>
        </w:rPr>
        <w:t xml:space="preserve"> Care Home</w:t>
      </w:r>
    </w:p>
    <w:p w:rsidR="00970D67" w:rsidRPr="00A837DE" w:rsidRDefault="00970D67" w:rsidP="00970D67">
      <w:pPr>
        <w:pStyle w:val="ListParagraph"/>
        <w:ind w:left="142"/>
        <w:jc w:val="both"/>
        <w:rPr>
          <w:rFonts w:cs="Arial"/>
          <w:b/>
          <w:u w:val="single"/>
        </w:rPr>
      </w:pPr>
    </w:p>
    <w:p w:rsidR="004624C1" w:rsidRPr="00A837DE" w:rsidRDefault="004624C1" w:rsidP="00A165C1">
      <w:pPr>
        <w:pStyle w:val="ListParagraph"/>
        <w:numPr>
          <w:ilvl w:val="0"/>
          <w:numId w:val="164"/>
        </w:numPr>
        <w:ind w:left="567" w:hanging="567"/>
        <w:jc w:val="both"/>
      </w:pPr>
      <w:proofErr w:type="spellStart"/>
      <w:r w:rsidRPr="00A837DE">
        <w:t>Sancroft</w:t>
      </w:r>
      <w:proofErr w:type="spellEnd"/>
      <w:r w:rsidRPr="00A837DE">
        <w:t xml:space="preserve"> Community Care Ltd took over operations on the 8th February 2018 of the 50 bed residential care home for the elderly.  45 of these beds are contracted with the London Borough of Harrow under a block bed contract.  At the end of its first two months trading to the end of March 2018, </w:t>
      </w:r>
      <w:proofErr w:type="spellStart"/>
      <w:r w:rsidRPr="00A837DE">
        <w:t>Sancroft</w:t>
      </w:r>
      <w:proofErr w:type="spellEnd"/>
      <w:r w:rsidRPr="00A837DE">
        <w:t xml:space="preserve"> had delivered the net profit before tax as per the business plan.   </w:t>
      </w:r>
    </w:p>
    <w:p w:rsidR="004624C1" w:rsidRPr="00A837DE" w:rsidRDefault="004624C1" w:rsidP="00BC03D5">
      <w:pPr>
        <w:pStyle w:val="ListParagraph"/>
        <w:ind w:left="502"/>
        <w:jc w:val="both"/>
      </w:pPr>
    </w:p>
    <w:p w:rsidR="00A837DE" w:rsidRDefault="004624C1" w:rsidP="00A165C1">
      <w:pPr>
        <w:pStyle w:val="ListParagraph"/>
        <w:numPr>
          <w:ilvl w:val="0"/>
          <w:numId w:val="164"/>
        </w:numPr>
        <w:ind w:left="567" w:hanging="644"/>
        <w:jc w:val="both"/>
      </w:pPr>
      <w:r w:rsidRPr="00A837DE">
        <w:t>I</w:t>
      </w:r>
      <w:r w:rsidR="003F7807">
        <w:t>n</w:t>
      </w:r>
      <w:r w:rsidRPr="00A837DE">
        <w:t xml:space="preserve"> </w:t>
      </w:r>
      <w:r w:rsidR="001F7015">
        <w:t>Q</w:t>
      </w:r>
      <w:r w:rsidRPr="00A837DE">
        <w:t>uarter</w:t>
      </w:r>
      <w:r w:rsidR="003F7807">
        <w:t xml:space="preserve"> 2</w:t>
      </w:r>
      <w:r w:rsidRPr="00A837DE">
        <w:t xml:space="preserve"> of 2018/19 </w:t>
      </w:r>
      <w:r w:rsidR="00162315">
        <w:t xml:space="preserve">- </w:t>
      </w:r>
      <w:r w:rsidR="003F7807">
        <w:t xml:space="preserve"> </w:t>
      </w:r>
      <w:proofErr w:type="spellStart"/>
      <w:r w:rsidR="003F7807" w:rsidRPr="003F7807">
        <w:t>Sancroft</w:t>
      </w:r>
      <w:proofErr w:type="spellEnd"/>
      <w:r w:rsidR="003F7807" w:rsidRPr="003F7807">
        <w:t xml:space="preserve"> continues to deliver against the business plan with an improvement in position to that reported in Q1 2018</w:t>
      </w:r>
      <w:r w:rsidR="003F7807">
        <w:t>.</w:t>
      </w:r>
      <w:r w:rsidR="00A837DE" w:rsidRPr="00A837DE">
        <w:t xml:space="preserve"> The Quarter </w:t>
      </w:r>
      <w:r w:rsidR="003F7807">
        <w:t>2</w:t>
      </w:r>
      <w:r w:rsidR="00A837DE" w:rsidRPr="00A837DE">
        <w:t xml:space="preserve"> performance of the Company is set out in Confidential Appendix </w:t>
      </w:r>
      <w:r w:rsidR="007B12C5">
        <w:t>5</w:t>
      </w:r>
      <w:r w:rsidR="00A837DE" w:rsidRPr="00BC03D5">
        <w:t>.</w:t>
      </w:r>
    </w:p>
    <w:p w:rsidR="0097327F" w:rsidRPr="00BC03D5" w:rsidRDefault="0097327F" w:rsidP="00531831">
      <w:pPr>
        <w:jc w:val="both"/>
      </w:pPr>
    </w:p>
    <w:p w:rsidR="0097327F" w:rsidRDefault="0097327F" w:rsidP="0097327F">
      <w:pPr>
        <w:pStyle w:val="ListParagraph"/>
        <w:ind w:left="284" w:hanging="568"/>
        <w:jc w:val="both"/>
        <w:rPr>
          <w:rFonts w:cs="Arial"/>
          <w:b/>
          <w:u w:val="single"/>
        </w:rPr>
      </w:pPr>
      <w:r>
        <w:rPr>
          <w:rFonts w:cs="Arial"/>
          <w:b/>
        </w:rPr>
        <w:t>5</w:t>
      </w:r>
      <w:r w:rsidRPr="00A165C1">
        <w:rPr>
          <w:rFonts w:cs="Arial"/>
          <w:b/>
        </w:rPr>
        <w:t>.0</w:t>
      </w:r>
      <w:r w:rsidRPr="00A165C1">
        <w:rPr>
          <w:rFonts w:cs="Arial"/>
          <w:b/>
        </w:rPr>
        <w:tab/>
      </w:r>
      <w:proofErr w:type="spellStart"/>
      <w:r w:rsidRPr="0097327F">
        <w:rPr>
          <w:rFonts w:cs="Arial"/>
          <w:b/>
          <w:u w:val="single"/>
        </w:rPr>
        <w:t>Concilium</w:t>
      </w:r>
      <w:proofErr w:type="spellEnd"/>
      <w:r w:rsidRPr="0097327F">
        <w:rPr>
          <w:rFonts w:cs="Arial"/>
          <w:b/>
          <w:u w:val="single"/>
        </w:rPr>
        <w:t xml:space="preserve"> Business Services</w:t>
      </w:r>
    </w:p>
    <w:p w:rsidR="0097327F" w:rsidRDefault="0097327F" w:rsidP="0097327F">
      <w:pPr>
        <w:pStyle w:val="ListParagraph"/>
        <w:ind w:left="284" w:hanging="568"/>
        <w:jc w:val="both"/>
        <w:rPr>
          <w:rFonts w:cs="Arial"/>
          <w:b/>
          <w:u w:val="single"/>
        </w:rPr>
      </w:pPr>
    </w:p>
    <w:p w:rsidR="0097327F" w:rsidRDefault="0097327F" w:rsidP="00531831">
      <w:pPr>
        <w:ind w:left="567" w:hanging="567"/>
        <w:jc w:val="both"/>
        <w:rPr>
          <w:rFonts w:cs="Arial"/>
          <w:b/>
        </w:rPr>
      </w:pPr>
      <w:r w:rsidRPr="00531831">
        <w:rPr>
          <w:rFonts w:cs="Arial"/>
        </w:rPr>
        <w:t>5.1</w:t>
      </w:r>
      <w:r>
        <w:rPr>
          <w:rFonts w:cs="Arial"/>
          <w:b/>
        </w:rPr>
        <w:tab/>
      </w:r>
      <w:proofErr w:type="spellStart"/>
      <w:r w:rsidRPr="00531831">
        <w:rPr>
          <w:rFonts w:cs="Arial"/>
        </w:rPr>
        <w:t>Concilium</w:t>
      </w:r>
      <w:proofErr w:type="spellEnd"/>
      <w:r w:rsidRPr="00531831">
        <w:rPr>
          <w:rFonts w:cs="Arial"/>
        </w:rPr>
        <w:t xml:space="preserve"> Business Services Ltd has been trading as Smart Lettings since financial year 2015/16.  In accordance with the Shareholder Agreement the Business Plan is refreshed and subsequently approved on an annual basis.  Following the annual refresh, it has been concluded that Smart Lettings can no longer continue as a going concern and the functions of the Company will be transferred back to t</w:t>
      </w:r>
      <w:r>
        <w:rPr>
          <w:rFonts w:cs="Arial"/>
        </w:rPr>
        <w:t>he Council, </w:t>
      </w:r>
      <w:r w:rsidRPr="00531831">
        <w:rPr>
          <w:rFonts w:cs="Arial"/>
        </w:rPr>
        <w:t>including the TUPE of staff employed by Smart Lettings. This process of transferring back the functions has commenced and the results of this process will be reported to Cabinet in February as part of the Quarter 3 Finance Update.</w:t>
      </w:r>
      <w:r w:rsidRPr="00531831">
        <w:rPr>
          <w:rFonts w:cs="Arial"/>
          <w:b/>
        </w:rPr>
        <w:t xml:space="preserve">  </w:t>
      </w:r>
    </w:p>
    <w:p w:rsidR="0097327F" w:rsidRPr="00531831" w:rsidRDefault="0097327F" w:rsidP="00531831">
      <w:pPr>
        <w:ind w:left="567" w:hanging="567"/>
        <w:jc w:val="both"/>
        <w:rPr>
          <w:rFonts w:cs="Arial"/>
          <w:b/>
        </w:rPr>
      </w:pPr>
    </w:p>
    <w:p w:rsidR="0097327F" w:rsidRPr="0097327F" w:rsidRDefault="0097327F" w:rsidP="0097327F">
      <w:pPr>
        <w:pStyle w:val="ListParagraph"/>
        <w:ind w:left="284" w:hanging="568"/>
        <w:jc w:val="both"/>
        <w:rPr>
          <w:rFonts w:cs="Arial"/>
          <w:b/>
        </w:rPr>
      </w:pPr>
    </w:p>
    <w:p w:rsidR="00E90939" w:rsidRDefault="0097327F" w:rsidP="00531831">
      <w:pPr>
        <w:pStyle w:val="ListParagraph"/>
        <w:ind w:left="567" w:hanging="568"/>
        <w:jc w:val="both"/>
        <w:rPr>
          <w:rFonts w:cs="Arial"/>
        </w:rPr>
      </w:pPr>
      <w:r w:rsidRPr="00531831">
        <w:rPr>
          <w:rFonts w:cs="Arial"/>
        </w:rPr>
        <w:t>5.2</w:t>
      </w:r>
      <w:r w:rsidRPr="0097327F">
        <w:rPr>
          <w:rFonts w:cs="Arial"/>
          <w:b/>
        </w:rPr>
        <w:tab/>
      </w:r>
      <w:r w:rsidRPr="00531831">
        <w:rPr>
          <w:rFonts w:cs="Arial"/>
        </w:rPr>
        <w:t>Smart Lettings took a loan of £</w:t>
      </w:r>
      <w:r>
        <w:rPr>
          <w:rFonts w:cs="Arial"/>
        </w:rPr>
        <w:t>0.</w:t>
      </w:r>
      <w:r w:rsidRPr="00531831">
        <w:rPr>
          <w:rFonts w:cs="Arial"/>
        </w:rPr>
        <w:t>284</w:t>
      </w:r>
      <w:r>
        <w:rPr>
          <w:rFonts w:cs="Arial"/>
        </w:rPr>
        <w:t>m</w:t>
      </w:r>
      <w:r w:rsidRPr="00531831">
        <w:rPr>
          <w:rFonts w:cs="Arial"/>
        </w:rPr>
        <w:t xml:space="preserve"> from the Council. There are insufficient funds within the company to re-pay this loan. Contingency provision was made for such an event and the unrecoverable loan will be written of</w:t>
      </w:r>
      <w:r>
        <w:rPr>
          <w:rFonts w:cs="Arial"/>
        </w:rPr>
        <w:t>f</w:t>
      </w:r>
      <w:r w:rsidRPr="00531831">
        <w:rPr>
          <w:rFonts w:cs="Arial"/>
        </w:rPr>
        <w:t xml:space="preserve"> against the Commercialisation Reserve which cu</w:t>
      </w:r>
      <w:r>
        <w:rPr>
          <w:rFonts w:cs="Arial"/>
        </w:rPr>
        <w:t>rrently stands at £0.355m</w:t>
      </w:r>
      <w:r w:rsidRPr="00531831">
        <w:rPr>
          <w:rFonts w:cs="Arial"/>
          <w:bCs/>
        </w:rPr>
        <w:t>.</w:t>
      </w:r>
      <w:r w:rsidRPr="00531831">
        <w:rPr>
          <w:rFonts w:cs="Arial"/>
        </w:rPr>
        <w:t xml:space="preserve"> </w:t>
      </w:r>
      <w:r w:rsidR="00E90939">
        <w:rPr>
          <w:rFonts w:cs="Arial"/>
        </w:rPr>
        <w:t>It is therefore recommended that Cabinet approve the write off of this loan of £0.284m.</w:t>
      </w:r>
    </w:p>
    <w:p w:rsidR="00E90939" w:rsidRDefault="00E90939" w:rsidP="00531831">
      <w:pPr>
        <w:pStyle w:val="ListParagraph"/>
        <w:ind w:left="567" w:hanging="568"/>
        <w:jc w:val="both"/>
        <w:rPr>
          <w:rFonts w:cs="Arial"/>
        </w:rPr>
      </w:pPr>
    </w:p>
    <w:p w:rsidR="0097327F" w:rsidRPr="00531831" w:rsidRDefault="00E90939" w:rsidP="00531831">
      <w:pPr>
        <w:pStyle w:val="ListParagraph"/>
        <w:ind w:left="567" w:hanging="568"/>
        <w:jc w:val="both"/>
        <w:rPr>
          <w:rFonts w:cs="Arial"/>
        </w:rPr>
      </w:pPr>
      <w:r>
        <w:rPr>
          <w:rFonts w:cs="Arial"/>
        </w:rPr>
        <w:t>5.3</w:t>
      </w:r>
      <w:r>
        <w:rPr>
          <w:rFonts w:cs="Arial"/>
        </w:rPr>
        <w:tab/>
      </w:r>
      <w:r w:rsidR="0097327F" w:rsidRPr="00531831">
        <w:rPr>
          <w:rFonts w:cs="Arial"/>
        </w:rPr>
        <w:t xml:space="preserve">When the process </w:t>
      </w:r>
      <w:r w:rsidR="00775C04">
        <w:rPr>
          <w:rFonts w:cs="Arial"/>
        </w:rPr>
        <w:t>of</w:t>
      </w:r>
      <w:r w:rsidR="0097327F" w:rsidRPr="00531831">
        <w:rPr>
          <w:rFonts w:cs="Arial"/>
        </w:rPr>
        <w:t xml:space="preserve"> transferring functions back to the authority has been completed, any residual loss within the company will be held within </w:t>
      </w:r>
      <w:proofErr w:type="spellStart"/>
      <w:r w:rsidR="0097327F" w:rsidRPr="00531831">
        <w:rPr>
          <w:rFonts w:cs="Arial"/>
        </w:rPr>
        <w:t>Concilium</w:t>
      </w:r>
      <w:proofErr w:type="spellEnd"/>
      <w:r w:rsidR="0097327F" w:rsidRPr="00531831">
        <w:rPr>
          <w:rFonts w:cs="Arial"/>
        </w:rPr>
        <w:t xml:space="preserve"> Group Ltd, the holding company, and be off set against profits earned elsewhere within the company structure</w:t>
      </w:r>
      <w:r w:rsidR="0097327F" w:rsidRPr="0097327F">
        <w:rPr>
          <w:rFonts w:cs="Arial"/>
        </w:rPr>
        <w:t>.</w:t>
      </w:r>
    </w:p>
    <w:p w:rsidR="004624C1" w:rsidRPr="00BC03D5" w:rsidRDefault="004624C1" w:rsidP="00BC03D5">
      <w:pPr>
        <w:pStyle w:val="ListParagraph"/>
      </w:pPr>
    </w:p>
    <w:p w:rsidR="00883715" w:rsidRPr="00D32FE5" w:rsidRDefault="00970D67" w:rsidP="00D32FE5">
      <w:pPr>
        <w:pStyle w:val="ListParagraph"/>
        <w:autoSpaceDE w:val="0"/>
        <w:autoSpaceDN w:val="0"/>
        <w:adjustRightInd w:val="0"/>
        <w:jc w:val="both"/>
      </w:pPr>
      <w:r w:rsidRPr="00970D67">
        <w:t xml:space="preserve"> </w:t>
      </w:r>
    </w:p>
    <w:p w:rsidR="00033CFC" w:rsidRPr="008C337C" w:rsidRDefault="00854561" w:rsidP="00531831">
      <w:pPr>
        <w:pStyle w:val="ListParagraph"/>
        <w:numPr>
          <w:ilvl w:val="0"/>
          <w:numId w:val="170"/>
        </w:numPr>
        <w:autoSpaceDE w:val="0"/>
        <w:autoSpaceDN w:val="0"/>
        <w:adjustRightInd w:val="0"/>
        <w:ind w:hanging="644"/>
        <w:jc w:val="both"/>
        <w:rPr>
          <w:rFonts w:cs="Arial"/>
          <w:b/>
          <w:szCs w:val="24"/>
          <w:lang w:val="en-US"/>
        </w:rPr>
      </w:pPr>
      <w:r w:rsidRPr="008C337C">
        <w:rPr>
          <w:rFonts w:cs="Arial"/>
          <w:b/>
          <w:szCs w:val="24"/>
        </w:rPr>
        <w:t>Reporting for the 2018/19 Financial Year</w:t>
      </w:r>
      <w:r w:rsidR="00DD7468" w:rsidRPr="008C337C">
        <w:rPr>
          <w:rFonts w:cs="Arial"/>
          <w:b/>
          <w:szCs w:val="24"/>
          <w:lang w:val="en-US"/>
        </w:rPr>
        <w:t>.</w:t>
      </w:r>
    </w:p>
    <w:p w:rsidR="00DD7468" w:rsidRDefault="00DD7468" w:rsidP="00AA3B74">
      <w:pPr>
        <w:pStyle w:val="ListParagraph"/>
        <w:autoSpaceDE w:val="0"/>
        <w:autoSpaceDN w:val="0"/>
        <w:adjustRightInd w:val="0"/>
        <w:ind w:left="284"/>
        <w:jc w:val="both"/>
        <w:rPr>
          <w:rFonts w:cs="Arial"/>
          <w:b/>
          <w:szCs w:val="24"/>
          <w:lang w:val="en-US"/>
        </w:rPr>
      </w:pPr>
    </w:p>
    <w:p w:rsidR="00854561" w:rsidRPr="00A50A0E" w:rsidRDefault="00854561" w:rsidP="008C337C">
      <w:pPr>
        <w:pStyle w:val="ListParagraph"/>
        <w:numPr>
          <w:ilvl w:val="1"/>
          <w:numId w:val="170"/>
        </w:numPr>
        <w:autoSpaceDE w:val="0"/>
        <w:autoSpaceDN w:val="0"/>
        <w:adjustRightInd w:val="0"/>
        <w:ind w:left="567" w:hanging="567"/>
        <w:jc w:val="both"/>
        <w:rPr>
          <w:rFonts w:cs="Arial"/>
          <w:szCs w:val="24"/>
          <w:lang w:val="en-US"/>
        </w:rPr>
      </w:pPr>
      <w:r w:rsidRPr="004C510E">
        <w:rPr>
          <w:rFonts w:cs="Arial"/>
          <w:szCs w:val="24"/>
        </w:rPr>
        <w:t xml:space="preserve">Cabinet will receive </w:t>
      </w:r>
      <w:r w:rsidR="001F7015">
        <w:rPr>
          <w:rFonts w:cs="Arial"/>
          <w:szCs w:val="24"/>
        </w:rPr>
        <w:t>q</w:t>
      </w:r>
      <w:r w:rsidRPr="004C510E">
        <w:rPr>
          <w:rFonts w:cs="Arial"/>
          <w:szCs w:val="24"/>
        </w:rPr>
        <w:t>uarterly monitoring reports during the year as follows:</w:t>
      </w:r>
    </w:p>
    <w:p w:rsidR="00854561" w:rsidRPr="00A928D0" w:rsidRDefault="00854561" w:rsidP="0094250E">
      <w:pPr>
        <w:pStyle w:val="ListParagraph"/>
        <w:rPr>
          <w:rFonts w:cs="Arial"/>
          <w:szCs w:val="24"/>
          <w:lang w:val="en-US"/>
        </w:rPr>
      </w:pPr>
    </w:p>
    <w:p w:rsidR="00854561" w:rsidRPr="00526265" w:rsidRDefault="00854561" w:rsidP="00854561">
      <w:pPr>
        <w:numPr>
          <w:ilvl w:val="0"/>
          <w:numId w:val="148"/>
        </w:numPr>
        <w:ind w:hanging="11"/>
      </w:pPr>
      <w:r w:rsidRPr="00526265">
        <w:t>Quarter 3</w:t>
      </w:r>
      <w:r>
        <w:t xml:space="preserve"> - </w:t>
      </w:r>
      <w:r w:rsidRPr="00526265">
        <w:t xml:space="preserve"> February 201</w:t>
      </w:r>
      <w:r>
        <w:t>9</w:t>
      </w:r>
    </w:p>
    <w:p w:rsidR="00854561" w:rsidRDefault="00854561" w:rsidP="00854561">
      <w:pPr>
        <w:numPr>
          <w:ilvl w:val="0"/>
          <w:numId w:val="148"/>
        </w:numPr>
        <w:spacing w:after="240"/>
        <w:ind w:hanging="11"/>
      </w:pPr>
      <w:r>
        <w:t>Outturn report  - June 2019</w:t>
      </w:r>
    </w:p>
    <w:p w:rsidR="009C15DB" w:rsidRPr="008C337C" w:rsidRDefault="009C15DB" w:rsidP="008C337C">
      <w:pPr>
        <w:pStyle w:val="ListParagraph"/>
        <w:numPr>
          <w:ilvl w:val="0"/>
          <w:numId w:val="170"/>
        </w:numPr>
        <w:ind w:hanging="644"/>
        <w:rPr>
          <w:b/>
        </w:rPr>
      </w:pPr>
      <w:r w:rsidRPr="008C337C">
        <w:rPr>
          <w:b/>
        </w:rPr>
        <w:t xml:space="preserve">IMPLICATIONS OF THE RECOMMENDATIONS </w:t>
      </w:r>
    </w:p>
    <w:p w:rsidR="009C15DB" w:rsidRDefault="009C15DB" w:rsidP="00A37874">
      <w:pPr>
        <w:pStyle w:val="ListParagraph"/>
        <w:rPr>
          <w:b/>
        </w:rPr>
      </w:pPr>
    </w:p>
    <w:p w:rsidR="009C15DB" w:rsidRDefault="009C15DB" w:rsidP="008C337C">
      <w:pPr>
        <w:ind w:firstLine="284"/>
        <w:jc w:val="both"/>
      </w:pPr>
      <w:r w:rsidRPr="00A37874">
        <w:t>The recommendations are asking the Cabinet mainly to</w:t>
      </w:r>
      <w:r>
        <w:t>:</w:t>
      </w:r>
    </w:p>
    <w:p w:rsidR="009C15DB" w:rsidRDefault="009C15DB" w:rsidP="001D29C9">
      <w:pPr>
        <w:pStyle w:val="ListParagraph"/>
        <w:numPr>
          <w:ilvl w:val="0"/>
          <w:numId w:val="140"/>
        </w:numPr>
        <w:jc w:val="both"/>
      </w:pPr>
      <w:r>
        <w:t xml:space="preserve">To </w:t>
      </w:r>
      <w:r w:rsidRPr="00A37874">
        <w:t xml:space="preserve">note the </w:t>
      </w:r>
      <w:r>
        <w:t>revenue position for  2018</w:t>
      </w:r>
      <w:r w:rsidR="00AC7DC6">
        <w:t>/19</w:t>
      </w:r>
    </w:p>
    <w:p w:rsidR="005637CD" w:rsidRDefault="005637CD" w:rsidP="001D29C9">
      <w:pPr>
        <w:pStyle w:val="ListParagraph"/>
        <w:numPr>
          <w:ilvl w:val="0"/>
          <w:numId w:val="140"/>
        </w:numPr>
        <w:jc w:val="both"/>
      </w:pPr>
      <w:r>
        <w:t>To approve amendments  to Capital Programme</w:t>
      </w:r>
    </w:p>
    <w:p w:rsidR="00CD2C62" w:rsidRDefault="00CD2C62" w:rsidP="001D29C9">
      <w:pPr>
        <w:pStyle w:val="ListParagraph"/>
        <w:numPr>
          <w:ilvl w:val="0"/>
          <w:numId w:val="140"/>
        </w:numPr>
        <w:jc w:val="both"/>
      </w:pPr>
      <w:r>
        <w:t>To approve bad debt write-off</w:t>
      </w:r>
    </w:p>
    <w:p w:rsidR="009C15DB" w:rsidRDefault="005637CD" w:rsidP="001D29C9">
      <w:pPr>
        <w:pStyle w:val="ListParagraph"/>
        <w:numPr>
          <w:ilvl w:val="0"/>
          <w:numId w:val="140"/>
        </w:numPr>
        <w:jc w:val="both"/>
      </w:pPr>
      <w:r>
        <w:t xml:space="preserve">To note the Quarter </w:t>
      </w:r>
      <w:r w:rsidR="003F7807">
        <w:t>2</w:t>
      </w:r>
      <w:r>
        <w:t xml:space="preserve"> performance of </w:t>
      </w:r>
      <w:proofErr w:type="spellStart"/>
      <w:r>
        <w:t>Sancroft</w:t>
      </w:r>
      <w:proofErr w:type="spellEnd"/>
      <w:r>
        <w:t xml:space="preserve"> Community Care. </w:t>
      </w:r>
    </w:p>
    <w:p w:rsidR="009C15DB" w:rsidRPr="00A37874" w:rsidRDefault="009C15DB" w:rsidP="001D29C9">
      <w:pPr>
        <w:pStyle w:val="ListParagraph"/>
        <w:ind w:left="1504"/>
        <w:jc w:val="both"/>
        <w:rPr>
          <w:strike/>
        </w:rPr>
      </w:pPr>
    </w:p>
    <w:p w:rsidR="009C15DB" w:rsidRDefault="009C15DB" w:rsidP="008C337C">
      <w:pPr>
        <w:ind w:left="426"/>
        <w:jc w:val="both"/>
      </w:pPr>
      <w:r w:rsidRPr="00A37874">
        <w:t>The</w:t>
      </w:r>
      <w:r>
        <w:t xml:space="preserve">se </w:t>
      </w:r>
      <w:r w:rsidR="00BE2DC6">
        <w:t>recommendations</w:t>
      </w:r>
      <w:r w:rsidRPr="00A37874">
        <w:t xml:space="preserve"> do not affect the</w:t>
      </w:r>
      <w:r w:rsidR="00BE2DC6">
        <w:t xml:space="preserve"> Council’s</w:t>
      </w:r>
      <w:r w:rsidRPr="00A37874">
        <w:t xml:space="preserve"> staffing / workforce and </w:t>
      </w:r>
      <w:r w:rsidR="00BE2DC6" w:rsidRPr="009C15DB">
        <w:t xml:space="preserve">have </w:t>
      </w:r>
      <w:r w:rsidR="00BE2DC6">
        <w:t>no</w:t>
      </w:r>
      <w:r w:rsidRPr="00A37874">
        <w:t xml:space="preserve"> equalities, procurement, data protection or community safety impact</w:t>
      </w:r>
      <w:r>
        <w:t>.</w:t>
      </w:r>
    </w:p>
    <w:p w:rsidR="009C15DB" w:rsidRPr="00A37874" w:rsidRDefault="009C15DB" w:rsidP="001D29C9">
      <w:pPr>
        <w:ind w:firstLine="720"/>
        <w:jc w:val="both"/>
      </w:pPr>
    </w:p>
    <w:p w:rsidR="009C15DB" w:rsidRPr="008C337C" w:rsidRDefault="009C15DB" w:rsidP="008C337C">
      <w:pPr>
        <w:pStyle w:val="ListParagraph"/>
        <w:numPr>
          <w:ilvl w:val="0"/>
          <w:numId w:val="170"/>
        </w:numPr>
        <w:ind w:hanging="644"/>
        <w:rPr>
          <w:b/>
        </w:rPr>
      </w:pPr>
      <w:r w:rsidRPr="008C337C">
        <w:rPr>
          <w:b/>
        </w:rPr>
        <w:t>PROCUREMENT IMPLICATIONS</w:t>
      </w:r>
    </w:p>
    <w:p w:rsidR="009C15DB" w:rsidRDefault="009C15DB" w:rsidP="00A37874">
      <w:pPr>
        <w:pStyle w:val="ListParagraph"/>
        <w:ind w:left="709"/>
        <w:rPr>
          <w:b/>
        </w:rPr>
      </w:pPr>
    </w:p>
    <w:p w:rsidR="009C15DB" w:rsidRPr="00A37874" w:rsidRDefault="009C15DB" w:rsidP="008C337C">
      <w:pPr>
        <w:ind w:firstLine="360"/>
      </w:pPr>
      <w:r w:rsidRPr="00A37874">
        <w:t>There are no procurement implications arising from this report</w:t>
      </w:r>
    </w:p>
    <w:p w:rsidR="002148A3" w:rsidRDefault="009C15DB" w:rsidP="00A37874">
      <w:pPr>
        <w:pStyle w:val="ListParagraph"/>
        <w:ind w:left="709"/>
        <w:rPr>
          <w:b/>
        </w:rPr>
      </w:pPr>
      <w:r w:rsidRPr="009C15DB">
        <w:rPr>
          <w:b/>
        </w:rPr>
        <w:t xml:space="preserve"> </w:t>
      </w:r>
    </w:p>
    <w:p w:rsidR="00917907" w:rsidRPr="002148A3" w:rsidRDefault="00917907" w:rsidP="00A37874">
      <w:pPr>
        <w:pStyle w:val="ListParagraph"/>
        <w:ind w:left="709"/>
        <w:rPr>
          <w:b/>
        </w:rPr>
      </w:pPr>
    </w:p>
    <w:p w:rsidR="00E22550" w:rsidRPr="008C337C" w:rsidRDefault="002148A3" w:rsidP="008C337C">
      <w:pPr>
        <w:pStyle w:val="ListParagraph"/>
        <w:numPr>
          <w:ilvl w:val="0"/>
          <w:numId w:val="170"/>
        </w:numPr>
        <w:ind w:left="284" w:hanging="568"/>
        <w:jc w:val="both"/>
        <w:rPr>
          <w:b/>
        </w:rPr>
      </w:pPr>
      <w:r w:rsidRPr="008C337C">
        <w:rPr>
          <w:b/>
        </w:rPr>
        <w:t xml:space="preserve"> </w:t>
      </w:r>
      <w:r w:rsidR="004046E9" w:rsidRPr="008C337C">
        <w:rPr>
          <w:b/>
        </w:rPr>
        <w:t xml:space="preserve"> </w:t>
      </w:r>
      <w:r w:rsidR="00C767C6" w:rsidRPr="008C337C">
        <w:rPr>
          <w:b/>
        </w:rPr>
        <w:t>LEGAL IMPLICATIONS</w:t>
      </w:r>
    </w:p>
    <w:p w:rsidR="0062107B" w:rsidRDefault="0062107B" w:rsidP="00D32FE5">
      <w:pPr>
        <w:pStyle w:val="ListParagraph"/>
        <w:ind w:left="284"/>
        <w:jc w:val="both"/>
        <w:rPr>
          <w:b/>
        </w:rPr>
      </w:pPr>
    </w:p>
    <w:p w:rsidR="0062107B" w:rsidRPr="00D32FE5" w:rsidRDefault="0062107B" w:rsidP="008C337C">
      <w:pPr>
        <w:pStyle w:val="ListParagraph"/>
        <w:numPr>
          <w:ilvl w:val="1"/>
          <w:numId w:val="170"/>
        </w:numPr>
        <w:ind w:left="567" w:hanging="567"/>
        <w:jc w:val="both"/>
      </w:pPr>
      <w:r w:rsidRPr="00D32FE5">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w:t>
      </w:r>
      <w:r w:rsidRPr="00D32FE5">
        <w:tab/>
        <w:t xml:space="preserve">statutory duty on a billing or major </w:t>
      </w:r>
      <w:proofErr w:type="spellStart"/>
      <w:r w:rsidRPr="00D32FE5">
        <w:t>precepting</w:t>
      </w:r>
      <w:proofErr w:type="spellEnd"/>
      <w:r w:rsidRPr="00D32FE5">
        <w:t xml:space="preserve"> authority to monitor,</w:t>
      </w:r>
      <w:r w:rsidRPr="00D32FE5">
        <w:tab/>
        <w:t>during the financial year, its income and expenditure against budget calculations.</w:t>
      </w:r>
    </w:p>
    <w:p w:rsidR="0062107B" w:rsidRPr="00D32FE5" w:rsidRDefault="0062107B" w:rsidP="00D32FE5">
      <w:pPr>
        <w:pStyle w:val="ListParagraph"/>
        <w:ind w:left="284"/>
        <w:jc w:val="both"/>
      </w:pPr>
    </w:p>
    <w:p w:rsidR="0062107B" w:rsidRDefault="0062107B" w:rsidP="008C337C">
      <w:pPr>
        <w:pStyle w:val="ListParagraph"/>
        <w:numPr>
          <w:ilvl w:val="1"/>
          <w:numId w:val="170"/>
        </w:numPr>
        <w:ind w:left="567" w:hanging="567"/>
        <w:jc w:val="both"/>
      </w:pPr>
      <w:r w:rsidRPr="00D32FE5">
        <w:t>Under the Council’s Financial Regulation B48 Additions in year to the Capital Programme up to £500,000 additional capital spending can be approved by Cabinet on specific projects where the expenditure is wholly covered by additional external sources; and the expenditure is in accordance with at least one of the priorities listed in the capital programme; and there are no significant full year revenue budget effects. The additional capital spending agreed by Cabinet in one financial year cannot exceed £2.5million.</w:t>
      </w:r>
    </w:p>
    <w:p w:rsidR="00083F6C" w:rsidRDefault="00083F6C" w:rsidP="008C337C">
      <w:pPr>
        <w:pStyle w:val="ListParagraph"/>
      </w:pPr>
    </w:p>
    <w:p w:rsidR="00083F6C" w:rsidRDefault="00083F6C" w:rsidP="008C337C">
      <w:pPr>
        <w:pStyle w:val="ListParagraph"/>
        <w:numPr>
          <w:ilvl w:val="1"/>
          <w:numId w:val="170"/>
        </w:numPr>
        <w:ind w:left="567" w:hanging="567"/>
        <w:jc w:val="both"/>
      </w:pPr>
      <w:r>
        <w:t xml:space="preserve">Under section F5 of the financial regulation debts write-offs over £25,000 will be subject to </w:t>
      </w:r>
      <w:r w:rsidR="007B12C5">
        <w:t>cabinet approval</w:t>
      </w:r>
      <w:r>
        <w:t xml:space="preserve">. </w:t>
      </w:r>
      <w:r w:rsidRPr="00083F6C">
        <w:t>The limits apply to individual debts or category of debts. The write offs needing approval at Cabinet will be submitted as part of the quarterly Revenue Monitoring Report</w:t>
      </w:r>
      <w:r>
        <w:t>.</w:t>
      </w:r>
    </w:p>
    <w:p w:rsidR="00261E4D" w:rsidRDefault="00261E4D" w:rsidP="00BC03D5">
      <w:pPr>
        <w:pStyle w:val="ListParagraph"/>
      </w:pPr>
    </w:p>
    <w:p w:rsidR="00404DF5" w:rsidRPr="005C4C1A" w:rsidRDefault="00404DF5" w:rsidP="00D32FE5">
      <w:pPr>
        <w:pStyle w:val="ListParagraph"/>
        <w:autoSpaceDE w:val="0"/>
        <w:autoSpaceDN w:val="0"/>
        <w:adjustRightInd w:val="0"/>
        <w:spacing w:after="240"/>
        <w:ind w:left="1080"/>
        <w:jc w:val="both"/>
        <w:rPr>
          <w:rFonts w:cs="Arial"/>
          <w:szCs w:val="24"/>
          <w:lang w:val="en-US"/>
        </w:rPr>
      </w:pPr>
    </w:p>
    <w:p w:rsidR="00696FC4" w:rsidRPr="008C337C" w:rsidRDefault="001B4C3D" w:rsidP="008C337C">
      <w:pPr>
        <w:pStyle w:val="ListParagraph"/>
        <w:numPr>
          <w:ilvl w:val="0"/>
          <w:numId w:val="170"/>
        </w:numPr>
        <w:ind w:left="284" w:hanging="568"/>
        <w:jc w:val="both"/>
        <w:rPr>
          <w:b/>
        </w:rPr>
      </w:pPr>
      <w:r w:rsidRPr="008C337C">
        <w:rPr>
          <w:b/>
        </w:rPr>
        <w:t xml:space="preserve"> </w:t>
      </w:r>
      <w:r w:rsidR="00C767C6" w:rsidRPr="008C337C">
        <w:rPr>
          <w:b/>
        </w:rPr>
        <w:t>FINANCIAL IMPLICATIONS</w:t>
      </w:r>
    </w:p>
    <w:p w:rsidR="00696FC4" w:rsidRDefault="00696FC4" w:rsidP="00AA3B74">
      <w:pPr>
        <w:pStyle w:val="ListParagraph"/>
        <w:ind w:left="567"/>
        <w:jc w:val="both"/>
        <w:rPr>
          <w:rFonts w:cs="Arial"/>
        </w:rPr>
      </w:pPr>
      <w:r w:rsidRPr="000F0C4F">
        <w:rPr>
          <w:rFonts w:cs="Arial"/>
        </w:rPr>
        <w:t xml:space="preserve">Financial </w:t>
      </w:r>
      <w:r w:rsidR="00A04B5A">
        <w:rPr>
          <w:rFonts w:cs="Arial"/>
        </w:rPr>
        <w:t>implications are contained within the body of the report.</w:t>
      </w:r>
    </w:p>
    <w:p w:rsidR="008057C3" w:rsidRDefault="008057C3" w:rsidP="00AA3B74">
      <w:pPr>
        <w:pStyle w:val="ListParagraph"/>
        <w:ind w:left="567"/>
        <w:jc w:val="both"/>
        <w:rPr>
          <w:rFonts w:cs="Arial"/>
        </w:rPr>
      </w:pPr>
    </w:p>
    <w:p w:rsidR="008057C3" w:rsidRDefault="008057C3" w:rsidP="00AA3B74">
      <w:pPr>
        <w:pStyle w:val="ListParagraph"/>
        <w:ind w:left="567"/>
        <w:jc w:val="both"/>
        <w:rPr>
          <w:rFonts w:cs="Arial"/>
        </w:rPr>
      </w:pPr>
    </w:p>
    <w:p w:rsidR="0062107B" w:rsidRDefault="0062107B" w:rsidP="00AA3B74">
      <w:pPr>
        <w:pStyle w:val="ListParagraph"/>
        <w:ind w:left="567"/>
        <w:jc w:val="both"/>
        <w:rPr>
          <w:rFonts w:cs="Arial"/>
        </w:rPr>
      </w:pPr>
    </w:p>
    <w:p w:rsidR="001B4C3D" w:rsidRPr="008C337C" w:rsidRDefault="001B4C3D" w:rsidP="008C337C">
      <w:pPr>
        <w:pStyle w:val="ListParagraph"/>
        <w:numPr>
          <w:ilvl w:val="0"/>
          <w:numId w:val="170"/>
        </w:numPr>
        <w:ind w:hanging="644"/>
        <w:jc w:val="both"/>
        <w:rPr>
          <w:rFonts w:cs="Arial"/>
          <w:b/>
          <w:szCs w:val="24"/>
        </w:rPr>
      </w:pPr>
      <w:r w:rsidRPr="008C337C">
        <w:rPr>
          <w:rFonts w:cs="Arial"/>
          <w:b/>
          <w:szCs w:val="24"/>
        </w:rPr>
        <w:t>PERFORMANCE</w:t>
      </w:r>
      <w:r w:rsidR="00A4674E" w:rsidRPr="008C337C">
        <w:rPr>
          <w:rFonts w:cs="Arial"/>
          <w:b/>
          <w:szCs w:val="24"/>
        </w:rPr>
        <w:t xml:space="preserve"> ISSUES</w:t>
      </w:r>
      <w:r w:rsidR="00A4674E" w:rsidRPr="008C337C">
        <w:rPr>
          <w:rFonts w:cs="Arial"/>
          <w:b/>
          <w:szCs w:val="24"/>
        </w:rPr>
        <w:tab/>
      </w:r>
      <w:r w:rsidR="00A4674E" w:rsidRPr="008C337C">
        <w:rPr>
          <w:rFonts w:cs="Arial"/>
          <w:b/>
          <w:szCs w:val="24"/>
        </w:rPr>
        <w:tab/>
      </w:r>
    </w:p>
    <w:p w:rsidR="003A3CD5" w:rsidRDefault="003A3CD5">
      <w:pPr>
        <w:jc w:val="both"/>
        <w:rPr>
          <w:rFonts w:cs="Arial"/>
          <w:b/>
          <w:szCs w:val="24"/>
        </w:rPr>
      </w:pPr>
    </w:p>
    <w:p w:rsidR="00E66512" w:rsidRDefault="00696FC4" w:rsidP="00AA3B74">
      <w:pPr>
        <w:pStyle w:val="ListParagraph"/>
        <w:autoSpaceDE w:val="0"/>
        <w:autoSpaceDN w:val="0"/>
        <w:adjustRightInd w:val="0"/>
        <w:ind w:left="567"/>
        <w:jc w:val="both"/>
        <w:rPr>
          <w:rFonts w:cs="Arial"/>
          <w:szCs w:val="24"/>
          <w:lang w:val="en-US"/>
        </w:rPr>
      </w:pPr>
      <w:r w:rsidRPr="000F0C4F">
        <w:rPr>
          <w:rFonts w:cs="Arial"/>
        </w:rPr>
        <w:t xml:space="preserve">Good financial </w:t>
      </w:r>
      <w:r w:rsidR="00E66512" w:rsidRPr="000F0C4F">
        <w:rPr>
          <w:rFonts w:cs="Arial"/>
        </w:rPr>
        <w:t>monitoring</w:t>
      </w:r>
      <w:r w:rsidRPr="000F0C4F">
        <w:rPr>
          <w:rFonts w:cs="Arial"/>
        </w:rPr>
        <w:t xml:space="preserve"> is essential to </w:t>
      </w:r>
      <w:r w:rsidR="00E66512" w:rsidRPr="000F0C4F">
        <w:rPr>
          <w:rFonts w:cs="Arial"/>
          <w:szCs w:val="24"/>
          <w:lang w:val="en-US"/>
        </w:rPr>
        <w:t xml:space="preserve">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w:t>
      </w:r>
      <w:r w:rsidR="00BE2DC6" w:rsidRPr="000F0C4F">
        <w:rPr>
          <w:rFonts w:cs="Arial"/>
          <w:szCs w:val="24"/>
          <w:lang w:val="en-US"/>
        </w:rPr>
        <w:t>maximized</w:t>
      </w:r>
      <w:r w:rsidR="00E66512" w:rsidRPr="000F0C4F">
        <w:rPr>
          <w:rFonts w:cs="Arial"/>
          <w:szCs w:val="24"/>
          <w:lang w:val="en-US"/>
        </w:rPr>
        <w:t>.</w:t>
      </w:r>
    </w:p>
    <w:p w:rsidR="00854561" w:rsidRDefault="00854561">
      <w:pPr>
        <w:pStyle w:val="ListParagraph"/>
        <w:autoSpaceDE w:val="0"/>
        <w:autoSpaceDN w:val="0"/>
        <w:adjustRightInd w:val="0"/>
        <w:ind w:left="567"/>
        <w:jc w:val="both"/>
        <w:rPr>
          <w:rFonts w:cs="Arial"/>
          <w:szCs w:val="24"/>
          <w:lang w:val="en-US"/>
        </w:rPr>
      </w:pPr>
    </w:p>
    <w:p w:rsidR="00854561" w:rsidRPr="00854561" w:rsidRDefault="00854561" w:rsidP="00A54D8E">
      <w:pPr>
        <w:pStyle w:val="ListParagraph"/>
        <w:autoSpaceDE w:val="0"/>
        <w:autoSpaceDN w:val="0"/>
        <w:adjustRightInd w:val="0"/>
        <w:ind w:left="567"/>
        <w:jc w:val="both"/>
        <w:rPr>
          <w:rFonts w:cs="Arial"/>
          <w:szCs w:val="24"/>
        </w:rPr>
      </w:pPr>
      <w:r w:rsidRPr="00854561">
        <w:rPr>
          <w:rFonts w:cs="Arial"/>
          <w:szCs w:val="24"/>
        </w:rPr>
        <w:t xml:space="preserve">The forecast position at </w:t>
      </w:r>
      <w:r w:rsidR="004046E9">
        <w:rPr>
          <w:rFonts w:cs="Arial"/>
          <w:szCs w:val="24"/>
        </w:rPr>
        <w:t xml:space="preserve">Quarter </w:t>
      </w:r>
      <w:r w:rsidR="00CD2C62">
        <w:rPr>
          <w:rFonts w:cs="Arial"/>
          <w:szCs w:val="24"/>
        </w:rPr>
        <w:t>2</w:t>
      </w:r>
      <w:r w:rsidRPr="00854561">
        <w:rPr>
          <w:rFonts w:cs="Arial"/>
          <w:szCs w:val="24"/>
        </w:rPr>
        <w:t xml:space="preserve"> is showing </w:t>
      </w:r>
      <w:r w:rsidRPr="00A54D8E">
        <w:rPr>
          <w:rFonts w:cs="Arial"/>
          <w:szCs w:val="24"/>
        </w:rPr>
        <w:t>a</w:t>
      </w:r>
      <w:r w:rsidR="003E2F7C" w:rsidRPr="00A54D8E">
        <w:rPr>
          <w:rFonts w:cs="Arial"/>
          <w:szCs w:val="24"/>
        </w:rPr>
        <w:t xml:space="preserve">n </w:t>
      </w:r>
      <w:r w:rsidR="00BB6909">
        <w:rPr>
          <w:rFonts w:cs="Arial"/>
          <w:szCs w:val="24"/>
        </w:rPr>
        <w:t xml:space="preserve">under </w:t>
      </w:r>
      <w:r w:rsidR="003E2F7C" w:rsidRPr="00A54D8E">
        <w:rPr>
          <w:rFonts w:cs="Arial"/>
          <w:szCs w:val="24"/>
        </w:rPr>
        <w:t xml:space="preserve">spend </w:t>
      </w:r>
      <w:r w:rsidRPr="00A54D8E">
        <w:rPr>
          <w:rFonts w:cs="Arial"/>
          <w:szCs w:val="24"/>
        </w:rPr>
        <w:t>position</w:t>
      </w:r>
      <w:r w:rsidR="00D12114">
        <w:rPr>
          <w:rFonts w:cs="Arial"/>
          <w:szCs w:val="24"/>
        </w:rPr>
        <w:t xml:space="preserve"> of </w:t>
      </w:r>
      <w:r w:rsidR="009A5065">
        <w:rPr>
          <w:rFonts w:cs="Arial"/>
          <w:szCs w:val="24"/>
        </w:rPr>
        <w:t>(</w:t>
      </w:r>
      <w:r w:rsidR="00D12114">
        <w:rPr>
          <w:rFonts w:cs="Arial"/>
          <w:szCs w:val="24"/>
        </w:rPr>
        <w:t>£</w:t>
      </w:r>
      <w:r w:rsidR="00BB6909">
        <w:rPr>
          <w:rFonts w:cs="Arial"/>
          <w:szCs w:val="24"/>
        </w:rPr>
        <w:t>2.200</w:t>
      </w:r>
      <w:r w:rsidR="003E2F7C">
        <w:rPr>
          <w:rFonts w:cs="Arial"/>
          <w:szCs w:val="24"/>
        </w:rPr>
        <w:t>m</w:t>
      </w:r>
      <w:r w:rsidR="009A5065">
        <w:rPr>
          <w:rFonts w:cs="Arial"/>
          <w:szCs w:val="24"/>
        </w:rPr>
        <w:t>)</w:t>
      </w:r>
      <w:r w:rsidRPr="00854561">
        <w:rPr>
          <w:rFonts w:cs="Arial"/>
          <w:szCs w:val="24"/>
        </w:rPr>
        <w:t xml:space="preserve">. </w:t>
      </w:r>
    </w:p>
    <w:p w:rsidR="00854561" w:rsidRPr="00854561" w:rsidRDefault="00854561" w:rsidP="00A54D8E">
      <w:pPr>
        <w:pStyle w:val="ListParagraph"/>
        <w:autoSpaceDE w:val="0"/>
        <w:autoSpaceDN w:val="0"/>
        <w:adjustRightInd w:val="0"/>
        <w:ind w:left="567"/>
        <w:jc w:val="both"/>
        <w:rPr>
          <w:rFonts w:cs="Arial"/>
          <w:szCs w:val="24"/>
        </w:rPr>
      </w:pPr>
    </w:p>
    <w:p w:rsidR="00854561" w:rsidRDefault="00854561" w:rsidP="00A54D8E">
      <w:pPr>
        <w:pStyle w:val="ListParagraph"/>
        <w:autoSpaceDE w:val="0"/>
        <w:autoSpaceDN w:val="0"/>
        <w:adjustRightInd w:val="0"/>
        <w:ind w:left="567"/>
        <w:jc w:val="both"/>
        <w:rPr>
          <w:rFonts w:cs="Arial"/>
          <w:szCs w:val="24"/>
        </w:rPr>
      </w:pPr>
      <w:r>
        <w:rPr>
          <w:rFonts w:cs="Arial"/>
          <w:szCs w:val="24"/>
        </w:rPr>
        <w:t>For the 20</w:t>
      </w:r>
      <w:r w:rsidRPr="00854561">
        <w:rPr>
          <w:rFonts w:cs="Arial"/>
          <w:szCs w:val="24"/>
        </w:rPr>
        <w:t>18</w:t>
      </w:r>
      <w:r>
        <w:rPr>
          <w:rFonts w:cs="Arial"/>
          <w:szCs w:val="24"/>
        </w:rPr>
        <w:t>/19</w:t>
      </w:r>
      <w:r w:rsidRPr="00854561">
        <w:rPr>
          <w:rFonts w:cs="Arial"/>
          <w:szCs w:val="24"/>
        </w:rPr>
        <w:t xml:space="preserve"> savings built into the MTFS,</w:t>
      </w:r>
      <w:r>
        <w:rPr>
          <w:rFonts w:cs="Arial"/>
          <w:szCs w:val="24"/>
        </w:rPr>
        <w:t xml:space="preserve"> the overall position is that 7</w:t>
      </w:r>
      <w:r w:rsidR="00BB6909">
        <w:rPr>
          <w:rFonts w:cs="Arial"/>
          <w:szCs w:val="24"/>
        </w:rPr>
        <w:t>0</w:t>
      </w:r>
      <w:r w:rsidRPr="00854561">
        <w:rPr>
          <w:rFonts w:cs="Arial"/>
          <w:szCs w:val="24"/>
        </w:rPr>
        <w:t>% of t</w:t>
      </w:r>
      <w:r>
        <w:rPr>
          <w:rFonts w:cs="Arial"/>
          <w:szCs w:val="24"/>
        </w:rPr>
        <w:t>he savings are RAG rated as Green</w:t>
      </w:r>
      <w:r w:rsidRPr="00854561">
        <w:rPr>
          <w:rFonts w:cs="Arial"/>
          <w:szCs w:val="24"/>
        </w:rPr>
        <w:t xml:space="preserve"> (Clear delivery plans in place</w:t>
      </w:r>
      <w:r>
        <w:rPr>
          <w:rFonts w:cs="Arial"/>
          <w:szCs w:val="24"/>
        </w:rPr>
        <w:t xml:space="preserve"> and </w:t>
      </w:r>
      <w:r w:rsidR="00072841">
        <w:rPr>
          <w:rFonts w:cs="Arial"/>
          <w:szCs w:val="24"/>
        </w:rPr>
        <w:t>p</w:t>
      </w:r>
      <w:r w:rsidRPr="00854561">
        <w:rPr>
          <w:rFonts w:cs="Arial"/>
          <w:szCs w:val="24"/>
        </w:rPr>
        <w:t>roject running to timescale</w:t>
      </w:r>
      <w:r w:rsidR="00395B38">
        <w:rPr>
          <w:rFonts w:cs="Arial"/>
          <w:szCs w:val="24"/>
        </w:rPr>
        <w:t xml:space="preserve">), </w:t>
      </w:r>
      <w:r>
        <w:rPr>
          <w:rFonts w:cs="Arial"/>
          <w:szCs w:val="24"/>
        </w:rPr>
        <w:t>1</w:t>
      </w:r>
      <w:r w:rsidR="00BB6909">
        <w:rPr>
          <w:rFonts w:cs="Arial"/>
          <w:szCs w:val="24"/>
        </w:rPr>
        <w:t>8</w:t>
      </w:r>
      <w:r w:rsidRPr="00854561">
        <w:rPr>
          <w:rFonts w:cs="Arial"/>
          <w:szCs w:val="24"/>
        </w:rPr>
        <w:t>% amber (</w:t>
      </w:r>
      <w:r w:rsidR="00395B38" w:rsidRPr="00395B38">
        <w:rPr>
          <w:rFonts w:cs="Arial"/>
          <w:szCs w:val="24"/>
        </w:rPr>
        <w:t>Potential for slippage</w:t>
      </w:r>
      <w:r w:rsidR="00072841">
        <w:rPr>
          <w:rFonts w:cs="Arial"/>
          <w:szCs w:val="24"/>
        </w:rPr>
        <w:t xml:space="preserve">, </w:t>
      </w:r>
      <w:r w:rsidR="00395B38" w:rsidRPr="00395B38">
        <w:rPr>
          <w:rFonts w:cs="Arial"/>
          <w:szCs w:val="24"/>
        </w:rPr>
        <w:t>project will be delivered as originally intended but not within timescale, so saving will not be fully realise</w:t>
      </w:r>
      <w:r w:rsidR="00395B38">
        <w:rPr>
          <w:rFonts w:cs="Arial"/>
          <w:szCs w:val="24"/>
        </w:rPr>
        <w:t>)</w:t>
      </w:r>
      <w:r w:rsidRPr="00854561">
        <w:rPr>
          <w:rFonts w:cs="Arial"/>
          <w:szCs w:val="24"/>
        </w:rPr>
        <w:t xml:space="preserve"> and 1</w:t>
      </w:r>
      <w:r w:rsidR="003F7807">
        <w:rPr>
          <w:rFonts w:cs="Arial"/>
          <w:szCs w:val="24"/>
        </w:rPr>
        <w:t>2</w:t>
      </w:r>
      <w:r w:rsidRPr="00854561">
        <w:rPr>
          <w:rFonts w:cs="Arial"/>
          <w:szCs w:val="24"/>
        </w:rPr>
        <w:t>% red (</w:t>
      </w:r>
      <w:r w:rsidR="00072841" w:rsidRPr="00072841">
        <w:rPr>
          <w:rFonts w:cs="Arial"/>
          <w:szCs w:val="24"/>
        </w:rPr>
        <w:t>Project may have started but will deliver no savings in the current financial yea</w:t>
      </w:r>
      <w:r w:rsidR="00072841">
        <w:rPr>
          <w:rFonts w:cs="Arial"/>
          <w:szCs w:val="24"/>
        </w:rPr>
        <w:t>r).</w:t>
      </w:r>
    </w:p>
    <w:p w:rsidR="002F0250" w:rsidRDefault="002F0250" w:rsidP="00A54D8E">
      <w:pPr>
        <w:pStyle w:val="ListParagraph"/>
        <w:autoSpaceDE w:val="0"/>
        <w:autoSpaceDN w:val="0"/>
        <w:adjustRightInd w:val="0"/>
        <w:ind w:left="567"/>
        <w:jc w:val="both"/>
        <w:rPr>
          <w:rFonts w:cs="Arial"/>
          <w:szCs w:val="24"/>
        </w:rPr>
      </w:pPr>
    </w:p>
    <w:p w:rsidR="002F0250" w:rsidRPr="00854561" w:rsidRDefault="002F0250" w:rsidP="00A54D8E">
      <w:pPr>
        <w:pStyle w:val="ListParagraph"/>
        <w:autoSpaceDE w:val="0"/>
        <w:autoSpaceDN w:val="0"/>
        <w:adjustRightInd w:val="0"/>
        <w:ind w:left="567"/>
        <w:jc w:val="both"/>
        <w:rPr>
          <w:rFonts w:cs="Arial"/>
          <w:szCs w:val="24"/>
        </w:rPr>
      </w:pPr>
      <w:r w:rsidRPr="002F0250">
        <w:rPr>
          <w:rFonts w:cs="Arial"/>
          <w:szCs w:val="24"/>
        </w:rPr>
        <w:t xml:space="preserve">The Capital Programme is projecting a spend of </w:t>
      </w:r>
      <w:r w:rsidR="001306E8">
        <w:rPr>
          <w:rFonts w:cs="Arial"/>
          <w:szCs w:val="24"/>
        </w:rPr>
        <w:t>4</w:t>
      </w:r>
      <w:r w:rsidR="00F8400C">
        <w:rPr>
          <w:rFonts w:cs="Arial"/>
          <w:szCs w:val="24"/>
        </w:rPr>
        <w:t>5</w:t>
      </w:r>
      <w:r w:rsidRPr="002F0250">
        <w:rPr>
          <w:rFonts w:cs="Arial"/>
          <w:szCs w:val="24"/>
        </w:rPr>
        <w:t xml:space="preserve">% as at </w:t>
      </w:r>
      <w:r w:rsidR="001F7015">
        <w:rPr>
          <w:rFonts w:cs="Arial"/>
          <w:szCs w:val="24"/>
        </w:rPr>
        <w:t>Q</w:t>
      </w:r>
      <w:r w:rsidRPr="002F0250">
        <w:rPr>
          <w:rFonts w:cs="Arial"/>
          <w:szCs w:val="24"/>
        </w:rPr>
        <w:t xml:space="preserve">uarter </w:t>
      </w:r>
      <w:r w:rsidR="001306E8">
        <w:rPr>
          <w:rFonts w:cs="Arial"/>
          <w:szCs w:val="24"/>
        </w:rPr>
        <w:t>2</w:t>
      </w:r>
    </w:p>
    <w:p w:rsidR="004046E9" w:rsidRPr="000F0C4F" w:rsidRDefault="004046E9" w:rsidP="00AA3B74">
      <w:pPr>
        <w:pStyle w:val="ListParagraph"/>
        <w:autoSpaceDE w:val="0"/>
        <w:autoSpaceDN w:val="0"/>
        <w:adjustRightInd w:val="0"/>
        <w:ind w:left="567"/>
        <w:jc w:val="both"/>
        <w:rPr>
          <w:rFonts w:cs="Arial"/>
          <w:szCs w:val="24"/>
          <w:lang w:val="en-US"/>
        </w:rPr>
      </w:pPr>
    </w:p>
    <w:p w:rsidR="00592E64" w:rsidRDefault="00592E64">
      <w:pPr>
        <w:pStyle w:val="ListParagraph"/>
        <w:ind w:left="567"/>
        <w:jc w:val="both"/>
        <w:rPr>
          <w:rFonts w:cs="Arial"/>
        </w:rPr>
      </w:pPr>
    </w:p>
    <w:p w:rsidR="00592E64" w:rsidRDefault="00592E64">
      <w:pPr>
        <w:ind w:left="284" w:hanging="568"/>
        <w:jc w:val="both"/>
        <w:rPr>
          <w:rFonts w:cs="Arial"/>
          <w:b/>
        </w:rPr>
      </w:pPr>
      <w:r w:rsidRPr="00A37874">
        <w:rPr>
          <w:rFonts w:cs="Arial"/>
          <w:b/>
        </w:rPr>
        <w:t>1</w:t>
      </w:r>
      <w:r w:rsidR="0097327F">
        <w:rPr>
          <w:rFonts w:cs="Arial"/>
          <w:b/>
        </w:rPr>
        <w:t>2</w:t>
      </w:r>
      <w:r w:rsidRPr="00A37874">
        <w:rPr>
          <w:rFonts w:cs="Arial"/>
          <w:b/>
        </w:rPr>
        <w:t xml:space="preserve">.0 </w:t>
      </w:r>
      <w:r w:rsidR="00BB6909">
        <w:rPr>
          <w:rFonts w:cs="Arial"/>
          <w:b/>
        </w:rPr>
        <w:t xml:space="preserve">  </w:t>
      </w:r>
      <w:r w:rsidRPr="00592E64">
        <w:rPr>
          <w:rFonts w:cs="Arial"/>
          <w:b/>
        </w:rPr>
        <w:t>ENVIRONMENTAL IMPACT</w:t>
      </w:r>
    </w:p>
    <w:p w:rsidR="00845775" w:rsidRDefault="00845775" w:rsidP="00A37874">
      <w:pPr>
        <w:ind w:left="284" w:hanging="426"/>
        <w:jc w:val="both"/>
        <w:rPr>
          <w:rFonts w:cs="Arial"/>
          <w:b/>
        </w:rPr>
      </w:pPr>
    </w:p>
    <w:p w:rsidR="00592E64" w:rsidRDefault="00592E64" w:rsidP="00A37874">
      <w:pPr>
        <w:ind w:left="567"/>
        <w:jc w:val="both"/>
        <w:rPr>
          <w:rFonts w:cs="Arial"/>
        </w:rPr>
      </w:pPr>
      <w:r w:rsidRPr="00A37874">
        <w:rPr>
          <w:rFonts w:cs="Arial"/>
        </w:rPr>
        <w:t>There is no direct environmental impact</w:t>
      </w:r>
    </w:p>
    <w:p w:rsidR="00845775" w:rsidRPr="00940CC4" w:rsidRDefault="00845775" w:rsidP="00A37874">
      <w:pPr>
        <w:ind w:left="567"/>
        <w:jc w:val="both"/>
        <w:rPr>
          <w:rFonts w:cs="Arial"/>
        </w:rPr>
      </w:pPr>
    </w:p>
    <w:p w:rsidR="001B4C3D" w:rsidRPr="008C337C" w:rsidRDefault="001B4C3D" w:rsidP="00531831">
      <w:pPr>
        <w:pStyle w:val="ListParagraph"/>
        <w:numPr>
          <w:ilvl w:val="0"/>
          <w:numId w:val="172"/>
        </w:numPr>
        <w:ind w:hanging="752"/>
        <w:rPr>
          <w:b/>
          <w:szCs w:val="24"/>
        </w:rPr>
      </w:pPr>
      <w:r w:rsidRPr="008C337C">
        <w:rPr>
          <w:b/>
          <w:szCs w:val="24"/>
        </w:rPr>
        <w:t>RISK MANAGEMENT IMPLICATIONS</w:t>
      </w:r>
    </w:p>
    <w:p w:rsidR="00845775" w:rsidRPr="00A37874" w:rsidRDefault="00845775" w:rsidP="00A37874">
      <w:pPr>
        <w:pStyle w:val="ListParagraph"/>
        <w:ind w:left="468"/>
        <w:rPr>
          <w:b/>
          <w:szCs w:val="24"/>
        </w:rPr>
      </w:pPr>
    </w:p>
    <w:p w:rsidR="00F309B7" w:rsidRPr="00F309B7" w:rsidRDefault="00696FC4">
      <w:pPr>
        <w:pStyle w:val="ListParagraph"/>
        <w:ind w:left="567"/>
        <w:jc w:val="both"/>
        <w:rPr>
          <w:rFonts w:cs="Arial"/>
        </w:rPr>
      </w:pPr>
      <w:r w:rsidRPr="000F0C4F">
        <w:rPr>
          <w:rFonts w:cs="Arial"/>
        </w:rPr>
        <w:t>T</w:t>
      </w:r>
      <w:r w:rsidR="00F309B7">
        <w:rPr>
          <w:rFonts w:cs="Arial"/>
        </w:rPr>
        <w:t xml:space="preserve">he </w:t>
      </w:r>
      <w:r w:rsidR="00F309B7" w:rsidRPr="00F309B7">
        <w:rPr>
          <w:rFonts w:cs="Arial"/>
        </w:rPr>
        <w:t>Key financial risks are managed through the risk management strategy. There are two significant financial risks currently included on the Corporate Risk Register:</w:t>
      </w:r>
    </w:p>
    <w:p w:rsidR="009B6CA8" w:rsidRDefault="009B6CA8" w:rsidP="00A54D8E">
      <w:pPr>
        <w:pStyle w:val="ListParagraph"/>
        <w:ind w:left="567"/>
        <w:jc w:val="both"/>
        <w:rPr>
          <w:rFonts w:cs="Arial"/>
        </w:rPr>
      </w:pPr>
    </w:p>
    <w:p w:rsidR="009B6CA8" w:rsidRPr="009B6CA8" w:rsidRDefault="009B6CA8" w:rsidP="009B6CA8">
      <w:pPr>
        <w:pStyle w:val="ListParagraph"/>
        <w:ind w:left="567"/>
        <w:jc w:val="both"/>
        <w:rPr>
          <w:rFonts w:cs="Arial"/>
        </w:rPr>
      </w:pPr>
      <w:r>
        <w:rPr>
          <w:rFonts w:cs="Arial"/>
        </w:rPr>
        <w:t xml:space="preserve">Risk 11 - </w:t>
      </w:r>
      <w:r w:rsidRPr="009B6CA8">
        <w:rPr>
          <w:rFonts w:cs="Arial"/>
        </w:rPr>
        <w:t>The inability to provide services within budget</w:t>
      </w:r>
      <w:r w:rsidR="00CF22F7">
        <w:rPr>
          <w:rFonts w:cs="Arial"/>
        </w:rPr>
        <w:t>.</w:t>
      </w:r>
      <w:r w:rsidRPr="009B6CA8">
        <w:rPr>
          <w:rFonts w:cs="Arial"/>
        </w:rPr>
        <w:t xml:space="preserve"> </w:t>
      </w:r>
    </w:p>
    <w:p w:rsidR="00F309B7" w:rsidRPr="00F309B7" w:rsidRDefault="00F309B7" w:rsidP="00A54D8E">
      <w:pPr>
        <w:pStyle w:val="ListParagraph"/>
        <w:ind w:left="567"/>
        <w:jc w:val="both"/>
        <w:rPr>
          <w:rFonts w:cs="Arial"/>
        </w:rPr>
      </w:pPr>
    </w:p>
    <w:p w:rsidR="001B4C3D" w:rsidRPr="008C337C" w:rsidRDefault="001B4C3D" w:rsidP="008C337C">
      <w:pPr>
        <w:pStyle w:val="ListParagraph"/>
        <w:numPr>
          <w:ilvl w:val="0"/>
          <w:numId w:val="172"/>
        </w:numPr>
        <w:ind w:hanging="752"/>
        <w:jc w:val="both"/>
        <w:rPr>
          <w:b/>
          <w:szCs w:val="24"/>
        </w:rPr>
      </w:pPr>
      <w:r w:rsidRPr="008C337C">
        <w:rPr>
          <w:b/>
          <w:szCs w:val="24"/>
        </w:rPr>
        <w:t>EQUALITIES IMPLICATIONS</w:t>
      </w:r>
      <w:r w:rsidR="00E849CF" w:rsidRPr="008C337C">
        <w:rPr>
          <w:b/>
          <w:szCs w:val="24"/>
        </w:rPr>
        <w:t xml:space="preserve"> / PUBLIC SECTOR EQUALITY DUTY</w:t>
      </w:r>
    </w:p>
    <w:p w:rsidR="001B4C3D" w:rsidRPr="000F0C4F" w:rsidRDefault="001B4C3D" w:rsidP="00D32FE5">
      <w:pPr>
        <w:pStyle w:val="ListParagraph"/>
        <w:ind w:left="360" w:hanging="502"/>
        <w:jc w:val="both"/>
        <w:rPr>
          <w:rFonts w:cs="Arial"/>
        </w:rPr>
      </w:pPr>
    </w:p>
    <w:p w:rsidR="00845775" w:rsidRDefault="00547D1F" w:rsidP="00AA3B74">
      <w:pPr>
        <w:pStyle w:val="ListParagraph"/>
        <w:ind w:left="567"/>
        <w:jc w:val="both"/>
        <w:rPr>
          <w:b/>
        </w:rPr>
      </w:pPr>
      <w:r>
        <w:rPr>
          <w:rFonts w:cs="Arial"/>
        </w:rPr>
        <w:t xml:space="preserve">The MTFS savings </w:t>
      </w:r>
      <w:r w:rsidR="0000141B" w:rsidRPr="0000141B">
        <w:rPr>
          <w:rFonts w:cs="Arial"/>
        </w:rPr>
        <w:t xml:space="preserve">have had equality impact </w:t>
      </w:r>
      <w:r w:rsidR="00C227B1" w:rsidRPr="0000141B">
        <w:rPr>
          <w:rFonts w:cs="Arial"/>
        </w:rPr>
        <w:t>assessments</w:t>
      </w:r>
      <w:r w:rsidR="0000141B" w:rsidRPr="0000141B">
        <w:rPr>
          <w:rFonts w:cs="Arial"/>
        </w:rPr>
        <w:t xml:space="preserve"> completed on them where required and these have been published with the budget setting report.</w:t>
      </w:r>
      <w:r w:rsidR="00072841" w:rsidDel="00072841">
        <w:t xml:space="preserve"> </w:t>
      </w:r>
    </w:p>
    <w:p w:rsidR="00731954" w:rsidRDefault="00731954" w:rsidP="0094250E">
      <w:pPr>
        <w:pStyle w:val="ListParagraph"/>
        <w:ind w:left="567"/>
        <w:jc w:val="both"/>
        <w:rPr>
          <w:b/>
        </w:rPr>
      </w:pPr>
    </w:p>
    <w:p w:rsidR="00EC44F3" w:rsidRPr="00D32FE5" w:rsidRDefault="001072CE" w:rsidP="008C337C">
      <w:pPr>
        <w:ind w:left="426" w:hanging="710"/>
        <w:jc w:val="both"/>
        <w:rPr>
          <w:b/>
        </w:rPr>
      </w:pPr>
      <w:r>
        <w:rPr>
          <w:b/>
        </w:rPr>
        <w:t>1</w:t>
      </w:r>
      <w:r w:rsidR="0097327F">
        <w:rPr>
          <w:b/>
        </w:rPr>
        <w:t>5</w:t>
      </w:r>
      <w:r>
        <w:rPr>
          <w:b/>
        </w:rPr>
        <w:t>.0</w:t>
      </w:r>
      <w:r>
        <w:rPr>
          <w:b/>
        </w:rPr>
        <w:tab/>
      </w:r>
      <w:r w:rsidR="00EC44F3" w:rsidRPr="00D32FE5">
        <w:rPr>
          <w:b/>
        </w:rPr>
        <w:t>CORPORATE PRIORITIES</w:t>
      </w:r>
    </w:p>
    <w:p w:rsidR="00EC44F3" w:rsidRDefault="00EC44F3" w:rsidP="00AA3B74">
      <w:pPr>
        <w:pStyle w:val="Style12ptJustified"/>
        <w:ind w:left="284"/>
        <w:jc w:val="both"/>
        <w:rPr>
          <w:b/>
        </w:rPr>
      </w:pPr>
    </w:p>
    <w:p w:rsidR="00BB6909" w:rsidRDefault="00F309B7" w:rsidP="00AA3B74">
      <w:pPr>
        <w:pStyle w:val="Style12ptJustified"/>
        <w:ind w:left="567"/>
        <w:jc w:val="both"/>
        <w:rPr>
          <w:rFonts w:cs="Arial"/>
          <w:b/>
        </w:rPr>
      </w:pPr>
      <w:r w:rsidRPr="00F309B7">
        <w:rPr>
          <w:rFonts w:cs="Arial"/>
        </w:rPr>
        <w:t xml:space="preserve">The </w:t>
      </w:r>
      <w:r w:rsidR="00CF22F7">
        <w:rPr>
          <w:rFonts w:cs="Arial"/>
        </w:rPr>
        <w:t xml:space="preserve">Quarter </w:t>
      </w:r>
      <w:r w:rsidR="001306E8">
        <w:rPr>
          <w:rFonts w:cs="Arial"/>
        </w:rPr>
        <w:t>2</w:t>
      </w:r>
      <w:r w:rsidR="00CF22F7">
        <w:rPr>
          <w:rFonts w:cs="Arial"/>
        </w:rPr>
        <w:t xml:space="preserve"> </w:t>
      </w:r>
      <w:r w:rsidR="00731954">
        <w:rPr>
          <w:rFonts w:cs="Arial"/>
        </w:rPr>
        <w:t>Budget monitoring R</w:t>
      </w:r>
      <w:r>
        <w:rPr>
          <w:rFonts w:cs="Arial"/>
        </w:rPr>
        <w:t xml:space="preserve">eport </w:t>
      </w:r>
      <w:r w:rsidRPr="00F309B7">
        <w:rPr>
          <w:rFonts w:cs="Arial"/>
        </w:rPr>
        <w:t>has been prepared in line with the Council’s vision</w:t>
      </w:r>
      <w:r>
        <w:rPr>
          <w:rFonts w:cs="Arial"/>
        </w:rPr>
        <w:t>:</w:t>
      </w:r>
    </w:p>
    <w:p w:rsidR="00EC44F3" w:rsidRDefault="00EC44F3" w:rsidP="00AA3B74">
      <w:pPr>
        <w:pStyle w:val="Style12ptJustified"/>
        <w:ind w:left="567"/>
        <w:jc w:val="both"/>
        <w:rPr>
          <w:rFonts w:cs="Arial"/>
          <w:b/>
        </w:rPr>
      </w:pPr>
      <w:r w:rsidRPr="00EC44F3">
        <w:rPr>
          <w:rFonts w:cs="Arial"/>
          <w:b/>
        </w:rPr>
        <w:t>Working Together to Make a Difference for Harrow</w:t>
      </w:r>
    </w:p>
    <w:p w:rsidR="00EC44F3" w:rsidRPr="00EC44F3" w:rsidRDefault="00696FC4" w:rsidP="00AA3B74">
      <w:pPr>
        <w:pStyle w:val="ListParagraph"/>
        <w:ind w:left="567"/>
        <w:jc w:val="both"/>
        <w:rPr>
          <w:rFonts w:cs="Arial"/>
        </w:rPr>
      </w:pPr>
      <w:r w:rsidRPr="000F0C4F">
        <w:rPr>
          <w:rFonts w:cs="Arial"/>
        </w:rPr>
        <w:t xml:space="preserve"> </w:t>
      </w:r>
    </w:p>
    <w:p w:rsidR="00EC44F3" w:rsidRPr="00A37874" w:rsidRDefault="00EC44F3" w:rsidP="00A37874">
      <w:pPr>
        <w:pStyle w:val="ListParagraph"/>
        <w:numPr>
          <w:ilvl w:val="0"/>
          <w:numId w:val="145"/>
        </w:numPr>
        <w:jc w:val="both"/>
        <w:rPr>
          <w:rFonts w:cs="Arial"/>
        </w:rPr>
      </w:pPr>
      <w:r w:rsidRPr="00591F96">
        <w:rPr>
          <w:rFonts w:cs="Arial"/>
        </w:rPr>
        <w:t>Making a difference for the vulnerable</w:t>
      </w:r>
    </w:p>
    <w:p w:rsidR="00EC44F3" w:rsidRPr="00A37874" w:rsidRDefault="00EC44F3" w:rsidP="00A37874">
      <w:pPr>
        <w:pStyle w:val="ListParagraph"/>
        <w:numPr>
          <w:ilvl w:val="0"/>
          <w:numId w:val="145"/>
        </w:numPr>
        <w:jc w:val="both"/>
        <w:rPr>
          <w:rFonts w:cs="Arial"/>
        </w:rPr>
      </w:pPr>
      <w:r w:rsidRPr="00A37874">
        <w:rPr>
          <w:rFonts w:cs="Arial"/>
        </w:rPr>
        <w:t>Making a difference for communities</w:t>
      </w:r>
    </w:p>
    <w:p w:rsidR="00EC44F3" w:rsidRPr="00A37874" w:rsidRDefault="00EC44F3" w:rsidP="00A37874">
      <w:pPr>
        <w:pStyle w:val="ListParagraph"/>
        <w:numPr>
          <w:ilvl w:val="0"/>
          <w:numId w:val="145"/>
        </w:numPr>
        <w:jc w:val="both"/>
        <w:rPr>
          <w:rFonts w:cs="Arial"/>
        </w:rPr>
      </w:pPr>
      <w:r w:rsidRPr="00A37874">
        <w:rPr>
          <w:rFonts w:cs="Arial"/>
        </w:rPr>
        <w:t>Making a difference for local businesses</w:t>
      </w:r>
    </w:p>
    <w:p w:rsidR="00696FC4" w:rsidRDefault="00EC44F3" w:rsidP="00A37874">
      <w:pPr>
        <w:pStyle w:val="ListParagraph"/>
        <w:numPr>
          <w:ilvl w:val="0"/>
          <w:numId w:val="145"/>
        </w:numPr>
        <w:jc w:val="both"/>
        <w:rPr>
          <w:rFonts w:cs="Arial"/>
        </w:rPr>
      </w:pPr>
      <w:r w:rsidRPr="00A37874">
        <w:rPr>
          <w:rFonts w:cs="Arial"/>
        </w:rPr>
        <w:t>Making a difference for families</w:t>
      </w:r>
    </w:p>
    <w:p w:rsidR="0097327F" w:rsidRDefault="0097327F" w:rsidP="00531831">
      <w:pPr>
        <w:jc w:val="both"/>
        <w:rPr>
          <w:rFonts w:cs="Arial"/>
        </w:rPr>
      </w:pPr>
    </w:p>
    <w:p w:rsidR="00696FC4" w:rsidRDefault="00696FC4" w:rsidP="00AA3B74">
      <w:pPr>
        <w:jc w:val="both"/>
        <w:rPr>
          <w:rFonts w:cs="Arial"/>
        </w:rPr>
      </w:pPr>
      <w:r>
        <w:rPr>
          <w:b/>
          <w:sz w:val="32"/>
          <w:szCs w:val="32"/>
        </w:rP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487"/>
        <w:gridCol w:w="262"/>
        <w:gridCol w:w="4532"/>
      </w:tblGrid>
      <w:tr w:rsidR="00696FC4" w:rsidTr="00A54D8E">
        <w:tc>
          <w:tcPr>
            <w:tcW w:w="2321" w:type="pct"/>
            <w:tcBorders>
              <w:bottom w:val="nil"/>
              <w:right w:val="nil"/>
            </w:tcBorders>
          </w:tcPr>
          <w:p w:rsidR="00696FC4" w:rsidRDefault="00696FC4" w:rsidP="00AA3B74">
            <w:pPr>
              <w:pStyle w:val="Infotext"/>
              <w:jc w:val="both"/>
            </w:pPr>
          </w:p>
        </w:tc>
        <w:tc>
          <w:tcPr>
            <w:tcW w:w="247" w:type="pct"/>
            <w:tcBorders>
              <w:left w:val="nil"/>
              <w:right w:val="nil"/>
            </w:tcBorders>
          </w:tcPr>
          <w:p w:rsidR="00696FC4" w:rsidRDefault="00696FC4" w:rsidP="00AA3B74">
            <w:pPr>
              <w:pStyle w:val="Infotext"/>
              <w:jc w:val="both"/>
            </w:pPr>
          </w:p>
        </w:tc>
        <w:tc>
          <w:tcPr>
            <w:tcW w:w="133" w:type="pct"/>
            <w:tcBorders>
              <w:left w:val="nil"/>
              <w:bottom w:val="nil"/>
              <w:right w:val="nil"/>
            </w:tcBorders>
          </w:tcPr>
          <w:p w:rsidR="00696FC4" w:rsidRDefault="00696FC4" w:rsidP="00AA3B74">
            <w:pPr>
              <w:pStyle w:val="Infotext"/>
              <w:jc w:val="both"/>
            </w:pPr>
          </w:p>
        </w:tc>
        <w:tc>
          <w:tcPr>
            <w:tcW w:w="2299" w:type="pct"/>
            <w:tcBorders>
              <w:left w:val="nil"/>
              <w:bottom w:val="nil"/>
            </w:tcBorders>
          </w:tcPr>
          <w:p w:rsidR="00696FC4" w:rsidRDefault="00696FC4" w:rsidP="00AA3B74">
            <w:pPr>
              <w:pStyle w:val="Infotext"/>
              <w:jc w:val="both"/>
            </w:pPr>
          </w:p>
        </w:tc>
      </w:tr>
      <w:tr w:rsidR="00B40C72" w:rsidTr="00A54D8E">
        <w:tc>
          <w:tcPr>
            <w:tcW w:w="2321" w:type="pct"/>
            <w:tcBorders>
              <w:top w:val="nil"/>
              <w:bottom w:val="nil"/>
            </w:tcBorders>
          </w:tcPr>
          <w:p w:rsidR="00B40C72" w:rsidRDefault="00B40C72" w:rsidP="00AA3B74">
            <w:pPr>
              <w:pStyle w:val="Infotext"/>
              <w:jc w:val="both"/>
              <w:rPr>
                <w:sz w:val="24"/>
                <w:szCs w:val="24"/>
              </w:rPr>
            </w:pPr>
            <w:r>
              <w:rPr>
                <w:sz w:val="24"/>
                <w:szCs w:val="24"/>
              </w:rPr>
              <w:t xml:space="preserve">Name:  </w:t>
            </w:r>
            <w:r w:rsidR="003D76D5">
              <w:rPr>
                <w:sz w:val="24"/>
                <w:szCs w:val="24"/>
              </w:rPr>
              <w:t>Dawn Calvert</w:t>
            </w:r>
          </w:p>
        </w:tc>
        <w:tc>
          <w:tcPr>
            <w:tcW w:w="247" w:type="pct"/>
            <w:tcBorders>
              <w:bottom w:val="single" w:sz="4" w:space="0" w:color="auto"/>
            </w:tcBorders>
          </w:tcPr>
          <w:p w:rsidR="00B40C72" w:rsidRDefault="009537BE" w:rsidP="00AA3B74">
            <w:pPr>
              <w:pStyle w:val="Infotext"/>
              <w:jc w:val="both"/>
            </w:pPr>
            <w:r>
              <w:t>x</w:t>
            </w:r>
          </w:p>
        </w:tc>
        <w:tc>
          <w:tcPr>
            <w:tcW w:w="133" w:type="pct"/>
            <w:tcBorders>
              <w:top w:val="nil"/>
              <w:bottom w:val="nil"/>
              <w:right w:val="nil"/>
            </w:tcBorders>
          </w:tcPr>
          <w:p w:rsidR="00B40C72" w:rsidRDefault="00B40C72" w:rsidP="00AA3B74">
            <w:pPr>
              <w:pStyle w:val="Infotext"/>
              <w:jc w:val="both"/>
            </w:pPr>
          </w:p>
        </w:tc>
        <w:tc>
          <w:tcPr>
            <w:tcW w:w="2299" w:type="pct"/>
            <w:tcBorders>
              <w:top w:val="nil"/>
              <w:left w:val="nil"/>
              <w:bottom w:val="nil"/>
            </w:tcBorders>
          </w:tcPr>
          <w:p w:rsidR="00B40C72" w:rsidRDefault="00E32E24" w:rsidP="00AA3B74">
            <w:pPr>
              <w:pStyle w:val="Infotext"/>
              <w:jc w:val="both"/>
              <w:rPr>
                <w:sz w:val="24"/>
                <w:szCs w:val="24"/>
              </w:rPr>
            </w:pPr>
            <w:r>
              <w:rPr>
                <w:sz w:val="24"/>
                <w:szCs w:val="24"/>
              </w:rPr>
              <w:t>Director of Finance</w:t>
            </w:r>
          </w:p>
        </w:tc>
      </w:tr>
      <w:tr w:rsidR="00696FC4" w:rsidTr="00A54D8E">
        <w:trPr>
          <w:trHeight w:val="372"/>
        </w:trPr>
        <w:tc>
          <w:tcPr>
            <w:tcW w:w="2321" w:type="pct"/>
            <w:tcBorders>
              <w:top w:val="nil"/>
              <w:right w:val="nil"/>
            </w:tcBorders>
          </w:tcPr>
          <w:p w:rsidR="00696FC4" w:rsidRDefault="00696FC4" w:rsidP="00AA3B74">
            <w:pPr>
              <w:pStyle w:val="Infotext"/>
              <w:jc w:val="both"/>
              <w:rPr>
                <w:sz w:val="24"/>
                <w:szCs w:val="24"/>
              </w:rPr>
            </w:pPr>
            <w:r>
              <w:rPr>
                <w:sz w:val="24"/>
                <w:szCs w:val="24"/>
              </w:rPr>
              <w:t xml:space="preserve"> </w:t>
            </w:r>
          </w:p>
          <w:p w:rsidR="00696FC4" w:rsidRDefault="00151518">
            <w:pPr>
              <w:pStyle w:val="Infotext"/>
              <w:jc w:val="both"/>
              <w:rPr>
                <w:sz w:val="24"/>
                <w:szCs w:val="24"/>
              </w:rPr>
            </w:pPr>
            <w:r>
              <w:rPr>
                <w:sz w:val="24"/>
                <w:szCs w:val="24"/>
              </w:rPr>
              <w:t xml:space="preserve">Date: </w:t>
            </w:r>
            <w:r w:rsidR="009537BE">
              <w:rPr>
                <w:sz w:val="24"/>
                <w:szCs w:val="24"/>
              </w:rPr>
              <w:t>5</w:t>
            </w:r>
            <w:r w:rsidR="00500E6E" w:rsidRPr="00E23112">
              <w:rPr>
                <w:sz w:val="24"/>
                <w:szCs w:val="24"/>
                <w:vertAlign w:val="superscript"/>
              </w:rPr>
              <w:t>th</w:t>
            </w:r>
            <w:r w:rsidR="00500E6E">
              <w:rPr>
                <w:sz w:val="24"/>
                <w:szCs w:val="24"/>
              </w:rPr>
              <w:t xml:space="preserve"> November </w:t>
            </w:r>
            <w:r w:rsidR="009537BE">
              <w:rPr>
                <w:sz w:val="24"/>
                <w:szCs w:val="24"/>
              </w:rPr>
              <w:t>2018</w:t>
            </w:r>
          </w:p>
        </w:tc>
        <w:tc>
          <w:tcPr>
            <w:tcW w:w="247" w:type="pct"/>
            <w:tcBorders>
              <w:left w:val="nil"/>
              <w:bottom w:val="single" w:sz="4" w:space="0" w:color="auto"/>
              <w:right w:val="nil"/>
            </w:tcBorders>
          </w:tcPr>
          <w:p w:rsidR="00696FC4" w:rsidRDefault="00696FC4" w:rsidP="00AA3B74">
            <w:pPr>
              <w:pStyle w:val="Infotext"/>
              <w:jc w:val="both"/>
            </w:pPr>
          </w:p>
        </w:tc>
        <w:tc>
          <w:tcPr>
            <w:tcW w:w="133" w:type="pct"/>
            <w:tcBorders>
              <w:top w:val="nil"/>
              <w:left w:val="nil"/>
              <w:right w:val="nil"/>
            </w:tcBorders>
          </w:tcPr>
          <w:p w:rsidR="00696FC4" w:rsidRDefault="00696FC4" w:rsidP="00AA3B74">
            <w:pPr>
              <w:pStyle w:val="Infotext"/>
              <w:jc w:val="both"/>
            </w:pPr>
          </w:p>
        </w:tc>
        <w:tc>
          <w:tcPr>
            <w:tcW w:w="2299" w:type="pct"/>
            <w:tcBorders>
              <w:top w:val="nil"/>
              <w:left w:val="nil"/>
            </w:tcBorders>
          </w:tcPr>
          <w:p w:rsidR="00696FC4" w:rsidRDefault="00696FC4" w:rsidP="00AA3B74">
            <w:pPr>
              <w:pStyle w:val="Infotext"/>
              <w:jc w:val="both"/>
              <w:rPr>
                <w:sz w:val="24"/>
                <w:szCs w:val="24"/>
              </w:rPr>
            </w:pPr>
          </w:p>
        </w:tc>
      </w:tr>
      <w:tr w:rsidR="00696FC4" w:rsidTr="00A54D8E">
        <w:tc>
          <w:tcPr>
            <w:tcW w:w="2321" w:type="pct"/>
            <w:tcBorders>
              <w:bottom w:val="nil"/>
              <w:right w:val="nil"/>
            </w:tcBorders>
          </w:tcPr>
          <w:p w:rsidR="00696FC4" w:rsidRDefault="00696FC4" w:rsidP="00AA3B74">
            <w:pPr>
              <w:pStyle w:val="Infotext"/>
              <w:jc w:val="both"/>
              <w:rPr>
                <w:sz w:val="24"/>
                <w:szCs w:val="24"/>
              </w:rPr>
            </w:pPr>
          </w:p>
        </w:tc>
        <w:tc>
          <w:tcPr>
            <w:tcW w:w="247" w:type="pct"/>
            <w:tcBorders>
              <w:left w:val="nil"/>
              <w:right w:val="nil"/>
            </w:tcBorders>
          </w:tcPr>
          <w:p w:rsidR="00696FC4" w:rsidRDefault="00696FC4" w:rsidP="00AA3B74">
            <w:pPr>
              <w:pStyle w:val="Infotext"/>
              <w:jc w:val="both"/>
            </w:pPr>
          </w:p>
        </w:tc>
        <w:tc>
          <w:tcPr>
            <w:tcW w:w="133" w:type="pct"/>
            <w:tcBorders>
              <w:left w:val="nil"/>
              <w:bottom w:val="nil"/>
              <w:right w:val="nil"/>
            </w:tcBorders>
          </w:tcPr>
          <w:p w:rsidR="00696FC4" w:rsidRDefault="00696FC4" w:rsidP="00AA3B74">
            <w:pPr>
              <w:pStyle w:val="Infotext"/>
              <w:jc w:val="both"/>
            </w:pPr>
          </w:p>
        </w:tc>
        <w:tc>
          <w:tcPr>
            <w:tcW w:w="2299" w:type="pct"/>
            <w:tcBorders>
              <w:left w:val="nil"/>
              <w:bottom w:val="nil"/>
            </w:tcBorders>
          </w:tcPr>
          <w:p w:rsidR="00696FC4" w:rsidRDefault="00696FC4" w:rsidP="00AA3B74">
            <w:pPr>
              <w:pStyle w:val="Infotext"/>
              <w:jc w:val="both"/>
              <w:rPr>
                <w:sz w:val="24"/>
                <w:szCs w:val="24"/>
              </w:rPr>
            </w:pPr>
            <w:r>
              <w:rPr>
                <w:sz w:val="24"/>
                <w:szCs w:val="24"/>
              </w:rPr>
              <w:t>on behalf of the</w:t>
            </w:r>
          </w:p>
        </w:tc>
      </w:tr>
      <w:tr w:rsidR="00696FC4" w:rsidTr="00A54D8E">
        <w:tc>
          <w:tcPr>
            <w:tcW w:w="2321" w:type="pct"/>
            <w:tcBorders>
              <w:top w:val="nil"/>
              <w:bottom w:val="nil"/>
            </w:tcBorders>
          </w:tcPr>
          <w:p w:rsidR="00696FC4" w:rsidRDefault="00696FC4">
            <w:pPr>
              <w:pStyle w:val="Infotext"/>
              <w:jc w:val="both"/>
              <w:rPr>
                <w:sz w:val="24"/>
                <w:szCs w:val="24"/>
              </w:rPr>
            </w:pPr>
            <w:r>
              <w:rPr>
                <w:sz w:val="24"/>
                <w:szCs w:val="24"/>
              </w:rPr>
              <w:t xml:space="preserve">Name:  </w:t>
            </w:r>
            <w:r w:rsidR="004C4740">
              <w:rPr>
                <w:sz w:val="24"/>
                <w:szCs w:val="24"/>
              </w:rPr>
              <w:t>Jessica Farmer</w:t>
            </w:r>
          </w:p>
        </w:tc>
        <w:tc>
          <w:tcPr>
            <w:tcW w:w="247" w:type="pct"/>
            <w:tcBorders>
              <w:bottom w:val="single" w:sz="4" w:space="0" w:color="auto"/>
            </w:tcBorders>
          </w:tcPr>
          <w:p w:rsidR="00696FC4" w:rsidRDefault="009B2455" w:rsidP="00AA3B74">
            <w:pPr>
              <w:pStyle w:val="Infotext"/>
              <w:jc w:val="both"/>
            </w:pPr>
            <w:r w:rsidRPr="009B2455">
              <w:t>x</w:t>
            </w:r>
            <w:r w:rsidRPr="009B2455" w:rsidDel="009B2455">
              <w:t xml:space="preserve"> </w:t>
            </w:r>
          </w:p>
        </w:tc>
        <w:tc>
          <w:tcPr>
            <w:tcW w:w="133" w:type="pct"/>
            <w:tcBorders>
              <w:top w:val="nil"/>
              <w:bottom w:val="nil"/>
              <w:right w:val="nil"/>
            </w:tcBorders>
          </w:tcPr>
          <w:p w:rsidR="00696FC4" w:rsidRDefault="00696FC4" w:rsidP="00AA3B74">
            <w:pPr>
              <w:pStyle w:val="Infotext"/>
              <w:jc w:val="both"/>
            </w:pPr>
          </w:p>
        </w:tc>
        <w:tc>
          <w:tcPr>
            <w:tcW w:w="2299" w:type="pct"/>
            <w:tcBorders>
              <w:top w:val="nil"/>
              <w:left w:val="nil"/>
              <w:bottom w:val="nil"/>
            </w:tcBorders>
          </w:tcPr>
          <w:p w:rsidR="00696FC4" w:rsidRDefault="00696FC4" w:rsidP="00AA3B74">
            <w:pPr>
              <w:pStyle w:val="Infotext"/>
              <w:jc w:val="both"/>
              <w:rPr>
                <w:sz w:val="24"/>
                <w:szCs w:val="24"/>
              </w:rPr>
            </w:pPr>
            <w:r>
              <w:rPr>
                <w:sz w:val="24"/>
                <w:szCs w:val="24"/>
              </w:rPr>
              <w:t>Monitoring Officer</w:t>
            </w:r>
          </w:p>
        </w:tc>
      </w:tr>
      <w:tr w:rsidR="00696FC4" w:rsidTr="00A54D8E">
        <w:trPr>
          <w:trHeight w:val="704"/>
        </w:trPr>
        <w:tc>
          <w:tcPr>
            <w:tcW w:w="2321" w:type="pct"/>
            <w:tcBorders>
              <w:top w:val="nil"/>
              <w:bottom w:val="single" w:sz="4" w:space="0" w:color="auto"/>
              <w:right w:val="nil"/>
            </w:tcBorders>
          </w:tcPr>
          <w:p w:rsidR="00696FC4" w:rsidRDefault="00696FC4" w:rsidP="00AA3B74">
            <w:pPr>
              <w:pStyle w:val="Infotext"/>
              <w:jc w:val="both"/>
              <w:rPr>
                <w:sz w:val="24"/>
                <w:szCs w:val="24"/>
              </w:rPr>
            </w:pPr>
          </w:p>
          <w:p w:rsidR="00696FC4" w:rsidRDefault="00696FC4" w:rsidP="00AA3B74">
            <w:pPr>
              <w:pStyle w:val="Infotext"/>
              <w:jc w:val="both"/>
              <w:rPr>
                <w:sz w:val="24"/>
                <w:szCs w:val="24"/>
              </w:rPr>
            </w:pPr>
            <w:r>
              <w:rPr>
                <w:sz w:val="24"/>
                <w:szCs w:val="24"/>
              </w:rPr>
              <w:t xml:space="preserve">Date:  </w:t>
            </w:r>
            <w:r w:rsidR="004C4740">
              <w:rPr>
                <w:sz w:val="24"/>
                <w:szCs w:val="24"/>
              </w:rPr>
              <w:t>26</w:t>
            </w:r>
            <w:r w:rsidR="004C4740" w:rsidRPr="00A4009F">
              <w:rPr>
                <w:sz w:val="24"/>
                <w:szCs w:val="24"/>
                <w:vertAlign w:val="superscript"/>
              </w:rPr>
              <w:t>th</w:t>
            </w:r>
            <w:r w:rsidR="004C4740">
              <w:rPr>
                <w:sz w:val="24"/>
                <w:szCs w:val="24"/>
              </w:rPr>
              <w:t xml:space="preserve"> November 2018</w:t>
            </w:r>
          </w:p>
          <w:p w:rsidR="00592E64" w:rsidRDefault="00592E64" w:rsidP="00AA3B74">
            <w:pPr>
              <w:pStyle w:val="Infotext"/>
              <w:jc w:val="both"/>
              <w:rPr>
                <w:sz w:val="24"/>
                <w:szCs w:val="24"/>
              </w:rPr>
            </w:pPr>
          </w:p>
          <w:p w:rsidR="00696FC4" w:rsidRDefault="00696FC4">
            <w:pPr>
              <w:pStyle w:val="Infotext"/>
              <w:jc w:val="both"/>
              <w:rPr>
                <w:sz w:val="24"/>
                <w:szCs w:val="24"/>
              </w:rPr>
            </w:pPr>
          </w:p>
        </w:tc>
        <w:tc>
          <w:tcPr>
            <w:tcW w:w="247" w:type="pct"/>
            <w:tcBorders>
              <w:left w:val="nil"/>
              <w:bottom w:val="single" w:sz="4" w:space="0" w:color="auto"/>
              <w:right w:val="nil"/>
            </w:tcBorders>
          </w:tcPr>
          <w:p w:rsidR="00696FC4" w:rsidRDefault="00696FC4" w:rsidP="00AA3B74">
            <w:pPr>
              <w:pStyle w:val="Infotext"/>
              <w:jc w:val="both"/>
            </w:pPr>
          </w:p>
        </w:tc>
        <w:tc>
          <w:tcPr>
            <w:tcW w:w="133" w:type="pct"/>
            <w:tcBorders>
              <w:top w:val="nil"/>
              <w:left w:val="nil"/>
              <w:bottom w:val="single" w:sz="4" w:space="0" w:color="auto"/>
              <w:right w:val="nil"/>
            </w:tcBorders>
          </w:tcPr>
          <w:p w:rsidR="00696FC4" w:rsidRDefault="00696FC4" w:rsidP="00AA3B74">
            <w:pPr>
              <w:pStyle w:val="Infotext"/>
              <w:jc w:val="both"/>
            </w:pPr>
          </w:p>
        </w:tc>
        <w:tc>
          <w:tcPr>
            <w:tcW w:w="2299" w:type="pct"/>
            <w:tcBorders>
              <w:top w:val="nil"/>
              <w:left w:val="nil"/>
              <w:bottom w:val="single" w:sz="4" w:space="0" w:color="auto"/>
            </w:tcBorders>
          </w:tcPr>
          <w:p w:rsidR="00696FC4" w:rsidRDefault="00696FC4" w:rsidP="00AA3B74">
            <w:pPr>
              <w:pStyle w:val="Infotext"/>
              <w:jc w:val="both"/>
            </w:pPr>
          </w:p>
          <w:p w:rsidR="00696FC4" w:rsidRDefault="00696FC4" w:rsidP="00AA3B74">
            <w:pPr>
              <w:pStyle w:val="Infotext"/>
              <w:jc w:val="both"/>
            </w:pPr>
          </w:p>
        </w:tc>
      </w:tr>
      <w:tr w:rsidR="004E3896" w:rsidRPr="007662D9" w:rsidTr="00A54D8E">
        <w:tc>
          <w:tcPr>
            <w:tcW w:w="2321" w:type="pct"/>
            <w:tcBorders>
              <w:left w:val="nil"/>
              <w:bottom w:val="nil"/>
              <w:right w:val="nil"/>
            </w:tcBorders>
          </w:tcPr>
          <w:p w:rsidR="004E3896" w:rsidRPr="007662D9" w:rsidRDefault="004E3896" w:rsidP="00940CC4">
            <w:pPr>
              <w:pStyle w:val="Infotext"/>
              <w:rPr>
                <w:sz w:val="24"/>
                <w:szCs w:val="24"/>
              </w:rPr>
            </w:pPr>
          </w:p>
        </w:tc>
        <w:tc>
          <w:tcPr>
            <w:tcW w:w="247" w:type="pct"/>
            <w:tcBorders>
              <w:left w:val="nil"/>
              <w:bottom w:val="nil"/>
              <w:right w:val="nil"/>
            </w:tcBorders>
          </w:tcPr>
          <w:p w:rsidR="004E3896" w:rsidRPr="007662D9" w:rsidRDefault="004E3896" w:rsidP="00940CC4">
            <w:pPr>
              <w:pStyle w:val="Infotext"/>
            </w:pPr>
          </w:p>
        </w:tc>
        <w:tc>
          <w:tcPr>
            <w:tcW w:w="133" w:type="pct"/>
            <w:tcBorders>
              <w:left w:val="nil"/>
              <w:bottom w:val="nil"/>
              <w:right w:val="nil"/>
            </w:tcBorders>
          </w:tcPr>
          <w:p w:rsidR="004E3896" w:rsidRPr="007662D9" w:rsidRDefault="004E3896" w:rsidP="00940CC4">
            <w:pPr>
              <w:pStyle w:val="Infotext"/>
            </w:pPr>
          </w:p>
        </w:tc>
        <w:tc>
          <w:tcPr>
            <w:tcW w:w="2299" w:type="pct"/>
            <w:tcBorders>
              <w:left w:val="nil"/>
              <w:bottom w:val="nil"/>
              <w:right w:val="nil"/>
            </w:tcBorders>
          </w:tcPr>
          <w:p w:rsidR="004E3896" w:rsidRPr="007662D9" w:rsidRDefault="004E3896" w:rsidP="00940CC4">
            <w:pPr>
              <w:pStyle w:val="Infotext"/>
              <w:rPr>
                <w:sz w:val="24"/>
                <w:szCs w:val="24"/>
              </w:rPr>
            </w:pPr>
          </w:p>
        </w:tc>
      </w:tr>
    </w:tbl>
    <w:p w:rsidR="00696FC4" w:rsidRPr="00A54D8E" w:rsidRDefault="00E03AA0" w:rsidP="00AA3B74">
      <w:pPr>
        <w:jc w:val="both"/>
        <w:rPr>
          <w:b/>
          <w:sz w:val="32"/>
          <w:szCs w:val="32"/>
        </w:rPr>
      </w:pPr>
      <w:r w:rsidRPr="00A54D8E">
        <w:rPr>
          <w:b/>
          <w:sz w:val="32"/>
          <w:szCs w:val="32"/>
        </w:rPr>
        <w:t>Section 3 – Procurement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487"/>
        <w:gridCol w:w="262"/>
        <w:gridCol w:w="4532"/>
      </w:tblGrid>
      <w:tr w:rsidR="00E03AA0" w:rsidRPr="00E03AA0" w:rsidTr="00C14396">
        <w:tc>
          <w:tcPr>
            <w:tcW w:w="2321" w:type="pct"/>
            <w:tcBorders>
              <w:top w:val="single" w:sz="4" w:space="0" w:color="auto"/>
              <w:bottom w:val="nil"/>
              <w:right w:val="nil"/>
            </w:tcBorders>
          </w:tcPr>
          <w:p w:rsidR="00E03AA0" w:rsidRPr="00E03AA0" w:rsidRDefault="00E03AA0" w:rsidP="00E03AA0">
            <w:pPr>
              <w:jc w:val="both"/>
            </w:pPr>
          </w:p>
        </w:tc>
        <w:tc>
          <w:tcPr>
            <w:tcW w:w="247" w:type="pct"/>
            <w:tcBorders>
              <w:top w:val="single" w:sz="4" w:space="0" w:color="auto"/>
              <w:left w:val="nil"/>
              <w:right w:val="nil"/>
            </w:tcBorders>
          </w:tcPr>
          <w:p w:rsidR="00E03AA0" w:rsidRPr="00E03AA0" w:rsidRDefault="00E03AA0" w:rsidP="00E03AA0">
            <w:pPr>
              <w:jc w:val="both"/>
            </w:pPr>
          </w:p>
        </w:tc>
        <w:tc>
          <w:tcPr>
            <w:tcW w:w="133" w:type="pct"/>
            <w:tcBorders>
              <w:top w:val="single" w:sz="4" w:space="0" w:color="auto"/>
              <w:left w:val="nil"/>
              <w:bottom w:val="nil"/>
              <w:right w:val="nil"/>
            </w:tcBorders>
          </w:tcPr>
          <w:p w:rsidR="00E03AA0" w:rsidRPr="00E03AA0" w:rsidRDefault="00E03AA0" w:rsidP="00E03AA0">
            <w:pPr>
              <w:jc w:val="both"/>
            </w:pPr>
          </w:p>
        </w:tc>
        <w:tc>
          <w:tcPr>
            <w:tcW w:w="2299" w:type="pct"/>
            <w:tcBorders>
              <w:top w:val="single" w:sz="4" w:space="0" w:color="auto"/>
              <w:left w:val="nil"/>
              <w:bottom w:val="nil"/>
            </w:tcBorders>
          </w:tcPr>
          <w:p w:rsidR="00E03AA0" w:rsidRPr="00E03AA0" w:rsidRDefault="00E03AA0" w:rsidP="00E03AA0">
            <w:pPr>
              <w:jc w:val="both"/>
            </w:pPr>
            <w:r w:rsidRPr="00E03AA0">
              <w:t>on behalf of the</w:t>
            </w:r>
          </w:p>
        </w:tc>
      </w:tr>
      <w:tr w:rsidR="00E03AA0" w:rsidRPr="00E03AA0" w:rsidTr="00C14396">
        <w:tc>
          <w:tcPr>
            <w:tcW w:w="2321" w:type="pct"/>
            <w:tcBorders>
              <w:top w:val="nil"/>
              <w:bottom w:val="nil"/>
            </w:tcBorders>
          </w:tcPr>
          <w:p w:rsidR="00E03AA0" w:rsidRPr="00E03AA0" w:rsidRDefault="00E03AA0" w:rsidP="00E03AA0">
            <w:pPr>
              <w:jc w:val="both"/>
            </w:pPr>
            <w:r w:rsidRPr="00E03AA0">
              <w:t>Name:   Nimesh Mehta</w:t>
            </w:r>
          </w:p>
        </w:tc>
        <w:tc>
          <w:tcPr>
            <w:tcW w:w="247" w:type="pct"/>
            <w:tcBorders>
              <w:bottom w:val="single" w:sz="4" w:space="0" w:color="auto"/>
            </w:tcBorders>
          </w:tcPr>
          <w:p w:rsidR="00E03AA0" w:rsidRPr="00E03AA0" w:rsidRDefault="009537BE" w:rsidP="00E03AA0">
            <w:pPr>
              <w:jc w:val="both"/>
            </w:pPr>
            <w:r>
              <w:t>x</w:t>
            </w:r>
          </w:p>
        </w:tc>
        <w:tc>
          <w:tcPr>
            <w:tcW w:w="133" w:type="pct"/>
            <w:tcBorders>
              <w:top w:val="nil"/>
              <w:bottom w:val="nil"/>
              <w:right w:val="nil"/>
            </w:tcBorders>
          </w:tcPr>
          <w:p w:rsidR="00E03AA0" w:rsidRPr="00E03AA0" w:rsidRDefault="00E03AA0" w:rsidP="00E03AA0">
            <w:pPr>
              <w:jc w:val="both"/>
            </w:pPr>
          </w:p>
        </w:tc>
        <w:tc>
          <w:tcPr>
            <w:tcW w:w="2299" w:type="pct"/>
            <w:tcBorders>
              <w:top w:val="nil"/>
              <w:left w:val="nil"/>
              <w:bottom w:val="nil"/>
            </w:tcBorders>
          </w:tcPr>
          <w:p w:rsidR="00E03AA0" w:rsidRPr="00E03AA0" w:rsidRDefault="00E03AA0" w:rsidP="00E03AA0">
            <w:pPr>
              <w:jc w:val="both"/>
            </w:pPr>
            <w:r w:rsidRPr="00E03AA0">
              <w:t>Head of Procurement</w:t>
            </w:r>
          </w:p>
        </w:tc>
      </w:tr>
      <w:tr w:rsidR="00E03AA0" w:rsidRPr="00E03AA0" w:rsidTr="00A54D8E">
        <w:trPr>
          <w:trHeight w:val="452"/>
        </w:trPr>
        <w:tc>
          <w:tcPr>
            <w:tcW w:w="2321" w:type="pct"/>
            <w:tcBorders>
              <w:top w:val="nil"/>
              <w:right w:val="nil"/>
            </w:tcBorders>
          </w:tcPr>
          <w:p w:rsidR="00E03AA0" w:rsidRPr="00E03AA0" w:rsidRDefault="00E03AA0" w:rsidP="00E03AA0">
            <w:pPr>
              <w:jc w:val="both"/>
            </w:pPr>
          </w:p>
          <w:p w:rsidR="00E03AA0" w:rsidRPr="00E03AA0" w:rsidRDefault="00E03AA0">
            <w:pPr>
              <w:jc w:val="both"/>
            </w:pPr>
            <w:r w:rsidRPr="00E03AA0">
              <w:t xml:space="preserve">Date:  </w:t>
            </w:r>
            <w:r w:rsidR="009537BE">
              <w:t>5</w:t>
            </w:r>
            <w:r w:rsidR="00500E6E" w:rsidRPr="00E23112">
              <w:rPr>
                <w:vertAlign w:val="superscript"/>
              </w:rPr>
              <w:t>th</w:t>
            </w:r>
            <w:r w:rsidR="00500E6E">
              <w:t xml:space="preserve"> November 2</w:t>
            </w:r>
            <w:r w:rsidR="009537BE">
              <w:t>018</w:t>
            </w:r>
          </w:p>
        </w:tc>
        <w:tc>
          <w:tcPr>
            <w:tcW w:w="247" w:type="pct"/>
            <w:tcBorders>
              <w:left w:val="nil"/>
              <w:right w:val="nil"/>
            </w:tcBorders>
          </w:tcPr>
          <w:p w:rsidR="00E03AA0" w:rsidRPr="00E03AA0" w:rsidRDefault="00E03AA0" w:rsidP="00E03AA0">
            <w:pPr>
              <w:jc w:val="both"/>
            </w:pPr>
          </w:p>
        </w:tc>
        <w:tc>
          <w:tcPr>
            <w:tcW w:w="133" w:type="pct"/>
            <w:tcBorders>
              <w:top w:val="nil"/>
              <w:left w:val="nil"/>
              <w:right w:val="nil"/>
            </w:tcBorders>
          </w:tcPr>
          <w:p w:rsidR="00E03AA0" w:rsidRPr="00E03AA0" w:rsidRDefault="00E03AA0" w:rsidP="00E03AA0">
            <w:pPr>
              <w:jc w:val="both"/>
            </w:pPr>
          </w:p>
        </w:tc>
        <w:tc>
          <w:tcPr>
            <w:tcW w:w="2299" w:type="pct"/>
            <w:tcBorders>
              <w:top w:val="nil"/>
              <w:left w:val="nil"/>
            </w:tcBorders>
          </w:tcPr>
          <w:p w:rsidR="00E03AA0" w:rsidRPr="00E03AA0" w:rsidRDefault="00E03AA0" w:rsidP="00E03AA0">
            <w:pPr>
              <w:jc w:val="both"/>
            </w:pPr>
          </w:p>
        </w:tc>
      </w:tr>
    </w:tbl>
    <w:p w:rsidR="00E03AA0" w:rsidRDefault="00E03AA0" w:rsidP="00AA3B7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3894"/>
      </w:tblGrid>
      <w:tr w:rsidR="000A55D4" w:rsidTr="00A54D8E">
        <w:trPr>
          <w:trHeight w:val="1035"/>
        </w:trPr>
        <w:tc>
          <w:tcPr>
            <w:tcW w:w="3025" w:type="pct"/>
            <w:tcBorders>
              <w:right w:val="nil"/>
            </w:tcBorders>
          </w:tcPr>
          <w:p w:rsidR="000A55D4" w:rsidRDefault="000A55D4" w:rsidP="00AA3B74">
            <w:pPr>
              <w:pStyle w:val="Infotext"/>
              <w:jc w:val="both"/>
              <w:rPr>
                <w:rFonts w:ascii="Arial Black" w:hAnsi="Arial Black"/>
              </w:rPr>
            </w:pPr>
          </w:p>
          <w:p w:rsidR="000A55D4" w:rsidRDefault="000A55D4" w:rsidP="00AA3B74">
            <w:pPr>
              <w:pStyle w:val="Infotext"/>
              <w:jc w:val="both"/>
              <w:rPr>
                <w:rFonts w:ascii="Arial Black" w:hAnsi="Arial Black"/>
              </w:rPr>
            </w:pPr>
            <w:r>
              <w:rPr>
                <w:rFonts w:ascii="Arial Black" w:hAnsi="Arial Black"/>
              </w:rPr>
              <w:t>Ward Councillors notified:</w:t>
            </w:r>
          </w:p>
          <w:p w:rsidR="000A55D4" w:rsidRDefault="000A55D4" w:rsidP="00AA3B74">
            <w:pPr>
              <w:pStyle w:val="Infotext"/>
              <w:jc w:val="both"/>
            </w:pPr>
          </w:p>
        </w:tc>
        <w:tc>
          <w:tcPr>
            <w:tcW w:w="1975" w:type="pct"/>
            <w:tcBorders>
              <w:left w:val="nil"/>
            </w:tcBorders>
          </w:tcPr>
          <w:p w:rsidR="000A55D4" w:rsidRDefault="000A55D4" w:rsidP="00AA3B74">
            <w:pPr>
              <w:pStyle w:val="Infotext"/>
              <w:jc w:val="both"/>
            </w:pPr>
          </w:p>
          <w:p w:rsidR="000A55D4" w:rsidRPr="00EF3D60" w:rsidRDefault="000A55D4" w:rsidP="00AA3B74">
            <w:pPr>
              <w:pStyle w:val="Infotext"/>
              <w:spacing w:before="120"/>
              <w:jc w:val="both"/>
              <w:rPr>
                <w:sz w:val="24"/>
                <w:szCs w:val="24"/>
              </w:rPr>
            </w:pPr>
            <w:r w:rsidRPr="00EF3D60">
              <w:rPr>
                <w:sz w:val="24"/>
                <w:szCs w:val="24"/>
              </w:rPr>
              <w:t xml:space="preserve">NO </w:t>
            </w:r>
          </w:p>
          <w:p w:rsidR="000A55D4" w:rsidRDefault="000A55D4" w:rsidP="00AA3B74">
            <w:pPr>
              <w:pStyle w:val="Infotext"/>
              <w:jc w:val="both"/>
              <w:rPr>
                <w:i/>
                <w:sz w:val="24"/>
                <w:szCs w:val="24"/>
              </w:rPr>
            </w:pPr>
            <w:r>
              <w:rPr>
                <w:i/>
                <w:sz w:val="24"/>
                <w:szCs w:val="24"/>
              </w:rPr>
              <w:t xml:space="preserve"> </w:t>
            </w:r>
          </w:p>
          <w:p w:rsidR="000A55D4" w:rsidRPr="003D78F6" w:rsidRDefault="000A55D4" w:rsidP="00AA3B74">
            <w:pPr>
              <w:pStyle w:val="Infotext"/>
              <w:ind w:left="173"/>
              <w:jc w:val="both"/>
              <w:rPr>
                <w:i/>
                <w:sz w:val="24"/>
                <w:szCs w:val="24"/>
              </w:rPr>
            </w:pPr>
          </w:p>
        </w:tc>
      </w:tr>
      <w:tr w:rsidR="00AC7BFC" w:rsidRPr="00303FD6" w:rsidTr="00A54D8E">
        <w:trPr>
          <w:trHeight w:val="1308"/>
        </w:trPr>
        <w:tc>
          <w:tcPr>
            <w:tcW w:w="3025" w:type="pct"/>
            <w:tcBorders>
              <w:top w:val="single" w:sz="4" w:space="0" w:color="auto"/>
              <w:left w:val="single" w:sz="4" w:space="0" w:color="auto"/>
              <w:bottom w:val="single" w:sz="4" w:space="0" w:color="auto"/>
              <w:right w:val="nil"/>
            </w:tcBorders>
          </w:tcPr>
          <w:p w:rsidR="00AC7BFC" w:rsidRPr="00AC7BFC" w:rsidRDefault="00AC7BFC" w:rsidP="00AA3B74">
            <w:pPr>
              <w:pStyle w:val="Infotext"/>
              <w:jc w:val="both"/>
              <w:rPr>
                <w:rFonts w:ascii="Arial Black" w:hAnsi="Arial Black"/>
              </w:rPr>
            </w:pPr>
          </w:p>
          <w:p w:rsidR="00AC7BFC" w:rsidRPr="00202D79" w:rsidRDefault="00AC7BFC" w:rsidP="00AA3B74">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AC7BFC" w:rsidRPr="00202D79" w:rsidRDefault="00AC7BFC" w:rsidP="00AA3B74">
            <w:pPr>
              <w:pStyle w:val="Infotext"/>
              <w:jc w:val="both"/>
              <w:rPr>
                <w:rFonts w:ascii="Arial Black" w:hAnsi="Arial Black"/>
              </w:rPr>
            </w:pPr>
          </w:p>
          <w:p w:rsidR="00AC7BFC" w:rsidRPr="00AC7BFC" w:rsidRDefault="00AC7BFC" w:rsidP="00AA3B74">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AC7BFC" w:rsidRPr="00AC7BFC" w:rsidRDefault="00AC7BFC" w:rsidP="00AA3B74">
            <w:pPr>
              <w:pStyle w:val="Infotext"/>
              <w:jc w:val="both"/>
            </w:pPr>
          </w:p>
          <w:p w:rsidR="00AC7BFC" w:rsidRPr="00EF3D60" w:rsidRDefault="00AC7BFC" w:rsidP="00AA3B74">
            <w:pPr>
              <w:pStyle w:val="Infotext"/>
              <w:jc w:val="both"/>
              <w:rPr>
                <w:sz w:val="24"/>
                <w:szCs w:val="24"/>
              </w:rPr>
            </w:pPr>
            <w:r w:rsidRPr="00EF3D60">
              <w:rPr>
                <w:sz w:val="24"/>
                <w:szCs w:val="24"/>
              </w:rPr>
              <w:t>NO</w:t>
            </w:r>
          </w:p>
          <w:p w:rsidR="00AC7BFC" w:rsidRPr="00AC7BFC" w:rsidRDefault="00AC7BFC" w:rsidP="00AA3B74">
            <w:pPr>
              <w:pStyle w:val="Infotext"/>
              <w:jc w:val="both"/>
            </w:pPr>
          </w:p>
          <w:p w:rsidR="00AC7BFC" w:rsidRPr="00AC7BFC" w:rsidRDefault="00AC7BFC" w:rsidP="00AA3B74">
            <w:pPr>
              <w:pStyle w:val="Infotext"/>
              <w:jc w:val="both"/>
            </w:pPr>
          </w:p>
          <w:p w:rsidR="00AC7BFC" w:rsidRPr="00EF3D60" w:rsidRDefault="00AC7BFC" w:rsidP="00AA3B74">
            <w:pPr>
              <w:pStyle w:val="Infotext"/>
              <w:jc w:val="both"/>
              <w:rPr>
                <w:sz w:val="24"/>
                <w:szCs w:val="24"/>
              </w:rPr>
            </w:pPr>
            <w:r w:rsidRPr="00EF3D60">
              <w:rPr>
                <w:sz w:val="24"/>
                <w:szCs w:val="24"/>
              </w:rPr>
              <w:t>N/A</w:t>
            </w:r>
          </w:p>
        </w:tc>
      </w:tr>
    </w:tbl>
    <w:p w:rsidR="000A55D4" w:rsidRPr="000A55D4" w:rsidRDefault="000A55D4" w:rsidP="00AA3B74">
      <w:pPr>
        <w:jc w:val="both"/>
        <w:rPr>
          <w:rFonts w:cs="Arial"/>
        </w:rPr>
      </w:pPr>
    </w:p>
    <w:p w:rsidR="00696FC4" w:rsidRDefault="00696FC4" w:rsidP="00AA3B74">
      <w:pPr>
        <w:pStyle w:val="Heading1"/>
        <w:jc w:val="both"/>
      </w:pPr>
      <w:r>
        <w:t xml:space="preserve">Section </w:t>
      </w:r>
      <w:r w:rsidR="00457774">
        <w:t>4</w:t>
      </w:r>
      <w:r>
        <w:t xml:space="preserve"> - Contact Details and Background Papers</w:t>
      </w:r>
    </w:p>
    <w:p w:rsidR="00696FC4" w:rsidRDefault="00696FC4" w:rsidP="00AA3B74">
      <w:pPr>
        <w:jc w:val="both"/>
      </w:pPr>
    </w:p>
    <w:p w:rsidR="00696FC4" w:rsidRDefault="00696FC4" w:rsidP="00AA3B74">
      <w:pPr>
        <w:pStyle w:val="Infotext"/>
        <w:tabs>
          <w:tab w:val="left" w:pos="1309"/>
          <w:tab w:val="left" w:pos="7106"/>
          <w:tab w:val="left" w:pos="8976"/>
        </w:tabs>
        <w:ind w:left="1309" w:right="257" w:hanging="1309"/>
        <w:jc w:val="both"/>
        <w:rPr>
          <w:b/>
          <w:szCs w:val="28"/>
        </w:rPr>
      </w:pPr>
      <w:r>
        <w:rPr>
          <w:b/>
        </w:rPr>
        <w:t xml:space="preserve">Contact:  </w:t>
      </w:r>
      <w:r w:rsidR="00CB266A">
        <w:rPr>
          <w:sz w:val="24"/>
          <w:szCs w:val="24"/>
        </w:rPr>
        <w:t>S</w:t>
      </w:r>
      <w:r w:rsidR="00E32E24">
        <w:rPr>
          <w:sz w:val="24"/>
          <w:szCs w:val="24"/>
        </w:rPr>
        <w:t>haron Daniels</w:t>
      </w:r>
      <w:r w:rsidR="00EC6642">
        <w:rPr>
          <w:sz w:val="24"/>
          <w:szCs w:val="24"/>
        </w:rPr>
        <w:t xml:space="preserve"> (</w:t>
      </w:r>
      <w:r w:rsidR="00E32E24">
        <w:rPr>
          <w:sz w:val="24"/>
          <w:szCs w:val="24"/>
        </w:rPr>
        <w:t>Sharon.daniels</w:t>
      </w:r>
      <w:r w:rsidR="00EC6642">
        <w:rPr>
          <w:sz w:val="24"/>
          <w:szCs w:val="24"/>
        </w:rPr>
        <w:t>@harrow.gov.uk)</w:t>
      </w:r>
    </w:p>
    <w:p w:rsidR="00BB6909" w:rsidRDefault="00BB6909" w:rsidP="00AA3B74">
      <w:pPr>
        <w:pStyle w:val="Infotext"/>
        <w:jc w:val="both"/>
        <w:rPr>
          <w:b/>
        </w:rPr>
      </w:pPr>
    </w:p>
    <w:p w:rsidR="00696FC4" w:rsidRDefault="00696FC4" w:rsidP="00AA3B74">
      <w:pPr>
        <w:pStyle w:val="Infotext"/>
        <w:jc w:val="both"/>
        <w:rPr>
          <w:b/>
        </w:rPr>
      </w:pPr>
      <w:r>
        <w:rPr>
          <w:b/>
        </w:rPr>
        <w:t xml:space="preserve">Background Papers: </w:t>
      </w:r>
    </w:p>
    <w:p w:rsidR="007351FE" w:rsidRDefault="007351FE" w:rsidP="00AA3B74">
      <w:pPr>
        <w:pStyle w:val="Infotext"/>
        <w:jc w:val="both"/>
        <w:rPr>
          <w:b/>
        </w:rPr>
      </w:pPr>
    </w:p>
    <w:p w:rsidR="007351FE" w:rsidRPr="007351FE" w:rsidRDefault="00C56805" w:rsidP="007351FE">
      <w:pPr>
        <w:pStyle w:val="Infotext"/>
        <w:jc w:val="both"/>
        <w:rPr>
          <w:szCs w:val="24"/>
        </w:rPr>
      </w:pPr>
      <w:hyperlink r:id="rId18" w:history="1">
        <w:r w:rsidR="007351FE" w:rsidRPr="007351FE">
          <w:rPr>
            <w:rStyle w:val="Hyperlink"/>
            <w:rFonts w:cs="Times New Roman"/>
            <w:sz w:val="28"/>
            <w:szCs w:val="24"/>
          </w:rPr>
          <w:t>http://www.harrow.gov.uk/www2/documents/b24374/Supplemental%20Agenda%20Thursday%2015-Feb-2018%2018.30%20Cabinet.pdf?T=9</w:t>
        </w:r>
      </w:hyperlink>
      <w:r w:rsidR="007351FE" w:rsidRPr="007351FE">
        <w:rPr>
          <w:szCs w:val="24"/>
        </w:rPr>
        <w:t>.</w:t>
      </w:r>
    </w:p>
    <w:p w:rsidR="007351FE" w:rsidRPr="007351FE" w:rsidRDefault="007351FE" w:rsidP="007351FE">
      <w:pPr>
        <w:pStyle w:val="Infotext"/>
        <w:jc w:val="both"/>
        <w:rPr>
          <w:szCs w:val="24"/>
        </w:rPr>
      </w:pPr>
    </w:p>
    <w:p w:rsidR="007351FE" w:rsidRPr="007351FE" w:rsidRDefault="00C56805" w:rsidP="007351FE">
      <w:pPr>
        <w:pStyle w:val="Infotext"/>
        <w:jc w:val="both"/>
        <w:rPr>
          <w:szCs w:val="24"/>
        </w:rPr>
      </w:pPr>
      <w:hyperlink r:id="rId19" w:history="1">
        <w:r w:rsidR="007351FE" w:rsidRPr="007351FE">
          <w:rPr>
            <w:rStyle w:val="Hyperlink"/>
            <w:rFonts w:cs="Times New Roman"/>
            <w:sz w:val="28"/>
            <w:szCs w:val="24"/>
          </w:rPr>
          <w:t>http://www.harrow.gov.uk/www2/documents/g64376/Public%20reports%20pack%20Thursday%2012-Jul-2018%2018.30%20Cabinet.pdf?T=10</w:t>
        </w:r>
      </w:hyperlink>
      <w:r w:rsidR="007351FE" w:rsidRPr="007351FE">
        <w:rPr>
          <w:szCs w:val="24"/>
        </w:rPr>
        <w:t>.</w:t>
      </w:r>
    </w:p>
    <w:p w:rsidR="00C508E3" w:rsidRDefault="00C508E3" w:rsidP="00AA3B74">
      <w:pPr>
        <w:pStyle w:val="Infotext"/>
        <w:jc w:val="both"/>
        <w:rPr>
          <w:sz w:val="24"/>
          <w:szCs w:val="24"/>
        </w:rPr>
      </w:pPr>
    </w:p>
    <w:p w:rsidR="005D75A6" w:rsidRDefault="005D75A6" w:rsidP="00AA3B74">
      <w:pPr>
        <w:pStyle w:val="Infotext"/>
        <w:tabs>
          <w:tab w:val="left" w:pos="8976"/>
        </w:tabs>
        <w:ind w:right="257"/>
        <w:jc w:val="both"/>
        <w:rPr>
          <w:color w:val="FF0000"/>
          <w:sz w:val="24"/>
          <w:szCs w:val="24"/>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630"/>
        <w:gridCol w:w="4849"/>
      </w:tblGrid>
      <w:tr w:rsidR="00696FC4" w:rsidTr="00C56805">
        <w:trPr>
          <w:trHeight w:val="49"/>
        </w:trPr>
        <w:tc>
          <w:tcPr>
            <w:tcW w:w="2210" w:type="pct"/>
            <w:tcBorders>
              <w:right w:val="nil"/>
            </w:tcBorders>
          </w:tcPr>
          <w:p w:rsidR="00696FC4" w:rsidRDefault="00696FC4" w:rsidP="00AA3B74">
            <w:pPr>
              <w:pStyle w:val="Infotext"/>
              <w:jc w:val="both"/>
              <w:rPr>
                <w:rFonts w:ascii="Arial Black" w:hAnsi="Arial Black"/>
              </w:rPr>
            </w:pPr>
            <w:r>
              <w:rPr>
                <w:rFonts w:ascii="Arial Black" w:hAnsi="Arial Black"/>
              </w:rPr>
              <w:t>Call-In Waived by the Chai</w:t>
            </w:r>
            <w:r w:rsidR="00592E64">
              <w:rPr>
                <w:rFonts w:ascii="Arial Black" w:hAnsi="Arial Black"/>
              </w:rPr>
              <w:t>r</w:t>
            </w:r>
            <w:r>
              <w:rPr>
                <w:rFonts w:ascii="Arial Black" w:hAnsi="Arial Black"/>
              </w:rPr>
              <w:t xml:space="preserve"> of Overview and Scrutiny Committee</w:t>
            </w:r>
          </w:p>
          <w:p w:rsidR="00696FC4" w:rsidRDefault="00696FC4" w:rsidP="00AA3B74">
            <w:pPr>
              <w:pStyle w:val="Infotext"/>
              <w:jc w:val="both"/>
            </w:pPr>
          </w:p>
          <w:p w:rsidR="00162B63" w:rsidRDefault="00162B63" w:rsidP="00AA3B74">
            <w:pPr>
              <w:pStyle w:val="Infotext"/>
              <w:jc w:val="both"/>
            </w:pPr>
          </w:p>
          <w:p w:rsidR="00162B63" w:rsidRDefault="00162B63" w:rsidP="00AA3B74">
            <w:pPr>
              <w:pStyle w:val="Infotext"/>
              <w:jc w:val="both"/>
            </w:pPr>
          </w:p>
          <w:p w:rsidR="00162B63" w:rsidRDefault="00162B63" w:rsidP="00AA3B74">
            <w:pPr>
              <w:pStyle w:val="Infotext"/>
              <w:jc w:val="both"/>
            </w:pPr>
          </w:p>
          <w:p w:rsidR="00162B63" w:rsidRDefault="00162B63" w:rsidP="00AA3B74">
            <w:pPr>
              <w:pStyle w:val="Infotext"/>
              <w:jc w:val="both"/>
            </w:pPr>
          </w:p>
          <w:p w:rsidR="00162B63" w:rsidRDefault="00162B63" w:rsidP="00AA3B74">
            <w:pPr>
              <w:pStyle w:val="Infotext"/>
              <w:jc w:val="both"/>
            </w:pPr>
          </w:p>
          <w:p w:rsidR="00162B63" w:rsidRDefault="00162B63" w:rsidP="00AA3B74">
            <w:pPr>
              <w:pStyle w:val="Infotext"/>
              <w:jc w:val="both"/>
            </w:pPr>
          </w:p>
          <w:p w:rsidR="00162B63" w:rsidRDefault="00162B63" w:rsidP="00AA3B74">
            <w:pPr>
              <w:pStyle w:val="Infotext"/>
              <w:jc w:val="both"/>
            </w:pPr>
          </w:p>
          <w:p w:rsidR="00162B63" w:rsidRDefault="00162B63" w:rsidP="00AA3B74">
            <w:pPr>
              <w:pStyle w:val="Infotext"/>
              <w:jc w:val="both"/>
            </w:pPr>
          </w:p>
        </w:tc>
        <w:tc>
          <w:tcPr>
            <w:tcW w:w="321" w:type="pct"/>
            <w:tcBorders>
              <w:left w:val="nil"/>
              <w:right w:val="nil"/>
            </w:tcBorders>
          </w:tcPr>
          <w:p w:rsidR="00696FC4" w:rsidRDefault="00696FC4" w:rsidP="00AA3B74">
            <w:pPr>
              <w:pStyle w:val="Infotext"/>
              <w:jc w:val="both"/>
            </w:pPr>
          </w:p>
        </w:tc>
        <w:tc>
          <w:tcPr>
            <w:tcW w:w="2469" w:type="pct"/>
            <w:tcBorders>
              <w:left w:val="nil"/>
            </w:tcBorders>
          </w:tcPr>
          <w:p w:rsidR="00696FC4" w:rsidRDefault="00696FC4" w:rsidP="00AA3B74">
            <w:pPr>
              <w:pStyle w:val="Infotext"/>
              <w:jc w:val="both"/>
            </w:pPr>
            <w:r>
              <w:rPr>
                <w:b/>
              </w:rPr>
              <w:t>NOT APPLICABLE</w:t>
            </w:r>
          </w:p>
          <w:p w:rsidR="00696FC4" w:rsidRDefault="00696FC4" w:rsidP="00AA3B74">
            <w:pPr>
              <w:pStyle w:val="Infotext"/>
              <w:jc w:val="both"/>
            </w:pPr>
          </w:p>
          <w:p w:rsidR="00696FC4" w:rsidRDefault="00696FC4" w:rsidP="00AA3B74">
            <w:pPr>
              <w:pStyle w:val="Infotext"/>
              <w:jc w:val="both"/>
              <w:rPr>
                <w:i/>
              </w:rPr>
            </w:pPr>
            <w:r>
              <w:rPr>
                <w:i/>
              </w:rPr>
              <w:t>[Call –in applies]</w:t>
            </w:r>
          </w:p>
          <w:p w:rsidR="00696FC4" w:rsidRDefault="00696FC4" w:rsidP="00AA3B74">
            <w:pPr>
              <w:pStyle w:val="Infotext"/>
              <w:jc w:val="both"/>
              <w:rPr>
                <w:i/>
              </w:rPr>
            </w:pPr>
          </w:p>
          <w:p w:rsidR="00D44ECE" w:rsidRDefault="00D44ECE" w:rsidP="00AA3B74">
            <w:pPr>
              <w:pStyle w:val="Infotext"/>
              <w:jc w:val="both"/>
              <w:rPr>
                <w:i/>
              </w:rPr>
            </w:pPr>
          </w:p>
          <w:p w:rsidR="00696FC4" w:rsidRDefault="00696FC4" w:rsidP="00AA3B74">
            <w:pPr>
              <w:pStyle w:val="Infotext"/>
              <w:jc w:val="both"/>
              <w:rPr>
                <w:i/>
                <w:sz w:val="24"/>
                <w:szCs w:val="24"/>
              </w:rPr>
            </w:pPr>
          </w:p>
        </w:tc>
      </w:tr>
    </w:tbl>
    <w:p w:rsidR="007531C0" w:rsidRDefault="007531C0" w:rsidP="00AA3B74">
      <w:pPr>
        <w:jc w:val="both"/>
        <w:rPr>
          <w:b/>
          <w:u w:val="single"/>
        </w:rPr>
      </w:pPr>
    </w:p>
    <w:p w:rsidR="007531C0" w:rsidRDefault="007531C0" w:rsidP="00AA3B74">
      <w:pPr>
        <w:jc w:val="both"/>
        <w:rPr>
          <w:b/>
          <w:u w:val="single"/>
        </w:rPr>
      </w:pPr>
    </w:p>
    <w:p w:rsidR="007531C0" w:rsidRDefault="007531C0" w:rsidP="00AA3B74">
      <w:pPr>
        <w:jc w:val="both"/>
        <w:rPr>
          <w:b/>
          <w:u w:val="single"/>
        </w:rPr>
      </w:pPr>
    </w:p>
    <w:p w:rsidR="007531C0" w:rsidRDefault="007531C0" w:rsidP="00AA3B74">
      <w:pPr>
        <w:jc w:val="both"/>
        <w:rPr>
          <w:b/>
          <w:u w:val="single"/>
        </w:rPr>
      </w:pPr>
    </w:p>
    <w:p w:rsidR="001A34CA" w:rsidRDefault="001A34CA" w:rsidP="00AA3B74">
      <w:pPr>
        <w:jc w:val="both"/>
        <w:rPr>
          <w:b/>
          <w:u w:val="single"/>
        </w:rPr>
      </w:pPr>
    </w:p>
    <w:p w:rsidR="001A34CA" w:rsidRDefault="001A34CA" w:rsidP="00AA3B74">
      <w:pPr>
        <w:jc w:val="both"/>
        <w:rPr>
          <w:b/>
          <w:u w:val="single"/>
        </w:rPr>
      </w:pPr>
    </w:p>
    <w:p w:rsidR="001A34CA" w:rsidRDefault="001A34CA" w:rsidP="00AA3B74">
      <w:pPr>
        <w:jc w:val="both"/>
        <w:rPr>
          <w:b/>
          <w:u w:val="single"/>
        </w:rPr>
      </w:pPr>
    </w:p>
    <w:p w:rsidR="001A34CA" w:rsidRDefault="001A34CA" w:rsidP="00AA3B74">
      <w:pPr>
        <w:jc w:val="both"/>
        <w:rPr>
          <w:b/>
          <w:u w:val="single"/>
        </w:rPr>
      </w:pPr>
    </w:p>
    <w:p w:rsidR="001A34CA" w:rsidRDefault="001A34CA" w:rsidP="00AA3B74">
      <w:pPr>
        <w:jc w:val="both"/>
        <w:rPr>
          <w:b/>
          <w:u w:val="single"/>
        </w:rPr>
      </w:pPr>
    </w:p>
    <w:p w:rsidR="001A34CA" w:rsidRDefault="001A34CA"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A4009F" w:rsidRDefault="00A4009F" w:rsidP="00AA3B74">
      <w:pPr>
        <w:jc w:val="both"/>
        <w:rPr>
          <w:b/>
          <w:u w:val="single"/>
        </w:rPr>
      </w:pPr>
    </w:p>
    <w:p w:rsidR="00A4009F" w:rsidRDefault="00A4009F" w:rsidP="00AA3B74">
      <w:pPr>
        <w:jc w:val="both"/>
        <w:rPr>
          <w:b/>
          <w:u w:val="single"/>
        </w:rPr>
      </w:pPr>
    </w:p>
    <w:p w:rsidR="00A4009F" w:rsidRDefault="00A4009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97327F" w:rsidRDefault="0097327F"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EA566B" w:rsidRDefault="00EA566B" w:rsidP="00AA3B74">
      <w:pPr>
        <w:jc w:val="both"/>
        <w:rPr>
          <w:b/>
          <w:u w:val="single"/>
        </w:rPr>
      </w:pPr>
    </w:p>
    <w:p w:rsidR="001A34CA" w:rsidRDefault="001A34CA" w:rsidP="00AA3B74">
      <w:pPr>
        <w:jc w:val="both"/>
        <w:rPr>
          <w:b/>
          <w:u w:val="single"/>
        </w:rPr>
      </w:pPr>
    </w:p>
    <w:p w:rsidR="00864919" w:rsidRDefault="00864919" w:rsidP="00AA3B74">
      <w:pPr>
        <w:jc w:val="both"/>
        <w:rPr>
          <w:b/>
          <w:u w:val="single"/>
        </w:rPr>
      </w:pPr>
    </w:p>
    <w:p w:rsidR="001A34CA" w:rsidRDefault="001A34CA" w:rsidP="00AA3B74">
      <w:pPr>
        <w:jc w:val="both"/>
        <w:rPr>
          <w:b/>
          <w:u w:val="single"/>
        </w:rPr>
      </w:pPr>
    </w:p>
    <w:p w:rsidR="001A34CA" w:rsidRDefault="001A34CA"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AF2F58" w:rsidRDefault="00AF2F58" w:rsidP="00AA3B74">
      <w:pPr>
        <w:jc w:val="both"/>
        <w:rPr>
          <w:b/>
          <w:u w:val="single"/>
        </w:rPr>
      </w:pPr>
    </w:p>
    <w:p w:rsidR="00864919" w:rsidRDefault="00864919" w:rsidP="00531831">
      <w:pPr>
        <w:rPr>
          <w:b/>
          <w:u w:val="single"/>
        </w:rPr>
      </w:pPr>
    </w:p>
    <w:p w:rsidR="00864919" w:rsidRDefault="00162B63" w:rsidP="00531831">
      <w:r w:rsidRPr="00A54D8E">
        <w:rPr>
          <w:b/>
          <w:u w:val="single"/>
        </w:rPr>
        <w:t>Revenue Forecast Summary by Directorate</w:t>
      </w:r>
      <w:r w:rsidRPr="00A54D8E">
        <w:rPr>
          <w:b/>
        </w:rPr>
        <w:t xml:space="preserve">                                  </w:t>
      </w:r>
      <w:r w:rsidR="00A86A7F">
        <w:rPr>
          <w:b/>
        </w:rPr>
        <w:t xml:space="preserve">          </w:t>
      </w:r>
      <w:r w:rsidRPr="00A54D8E">
        <w:rPr>
          <w:b/>
        </w:rPr>
        <w:t xml:space="preserve">     </w:t>
      </w:r>
      <w:r w:rsidRPr="00A54D8E">
        <w:rPr>
          <w:b/>
          <w:color w:val="FF0000"/>
        </w:rPr>
        <w:t xml:space="preserve"> </w:t>
      </w:r>
      <w:r w:rsidRPr="00A54D8E">
        <w:rPr>
          <w:b/>
        </w:rPr>
        <w:t>Appendix 1</w:t>
      </w:r>
      <w:r w:rsidR="00864919" w:rsidRPr="00864919" w:rsidDel="002B0403">
        <w:t xml:space="preserve"> </w:t>
      </w:r>
    </w:p>
    <w:p w:rsidR="00D97AF1" w:rsidRDefault="00864919" w:rsidP="00531831">
      <w:pPr>
        <w:tabs>
          <w:tab w:val="left" w:pos="1985"/>
        </w:tabs>
        <w:rPr>
          <w:color w:val="FF0000"/>
        </w:rPr>
      </w:pPr>
      <w:r w:rsidRPr="00864919">
        <w:rPr>
          <w:noProof/>
          <w:lang w:eastAsia="en-GB"/>
        </w:rPr>
        <w:drawing>
          <wp:inline distT="0" distB="0" distL="0" distR="0" wp14:anchorId="7AC70CCF" wp14:editId="41434F45">
            <wp:extent cx="6400765" cy="9082631"/>
            <wp:effectExtent l="0" t="0" r="63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9082680"/>
                    </a:xfrm>
                    <a:prstGeom prst="rect">
                      <a:avLst/>
                    </a:prstGeom>
                    <a:noFill/>
                    <a:ln>
                      <a:noFill/>
                    </a:ln>
                  </pic:spPr>
                </pic:pic>
              </a:graphicData>
            </a:graphic>
          </wp:inline>
        </w:drawing>
      </w:r>
      <w:r w:rsidRPr="00864919" w:rsidDel="002B0403">
        <w:t xml:space="preserve"> </w:t>
      </w:r>
    </w:p>
    <w:sectPr w:rsidR="00D97AF1" w:rsidSect="007E619C">
      <w:headerReference w:type="even" r:id="rId21"/>
      <w:headerReference w:type="default" r:id="rId22"/>
      <w:headerReference w:type="first" r:id="rId23"/>
      <w:pgSz w:w="11909" w:h="16834" w:code="9"/>
      <w:pgMar w:top="1134" w:right="1134" w:bottom="760" w:left="1134"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57" w:rsidRDefault="00DE4C57">
      <w:r>
        <w:separator/>
      </w:r>
    </w:p>
  </w:endnote>
  <w:endnote w:type="continuationSeparator" w:id="0">
    <w:p w:rsidR="00DE4C57" w:rsidRDefault="00DE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57" w:rsidRDefault="00DE4C57">
      <w:r>
        <w:separator/>
      </w:r>
    </w:p>
  </w:footnote>
  <w:footnote w:type="continuationSeparator" w:id="0">
    <w:p w:rsidR="00DE4C57" w:rsidRDefault="00DE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57" w:rsidRDefault="00DE4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57" w:rsidRDefault="00DE4C57" w:rsidP="00AA3B74">
    <w:pPr>
      <w:pStyle w:val="Header"/>
      <w:tabs>
        <w:tab w:val="clear" w:pos="4153"/>
        <w:tab w:val="clear" w:pos="8306"/>
        <w:tab w:val="left" w:pos="86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57" w:rsidRDefault="00DE4C57" w:rsidP="002A0969">
    <w:pPr>
      <w:pStyle w:val="Header"/>
      <w:jc w:val="right"/>
      <w:rPr>
        <w:b/>
      </w:rPr>
    </w:pPr>
  </w:p>
  <w:p w:rsidR="00DE4C57" w:rsidRPr="002A0969" w:rsidRDefault="00DE4C57" w:rsidP="002A096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rPr>
    </w:lvl>
  </w:abstractNum>
  <w:abstractNum w:abstractNumId="4">
    <w:nsid w:val="00A27A22"/>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1D44480"/>
    <w:multiLevelType w:val="hybridMultilevel"/>
    <w:tmpl w:val="28B63586"/>
    <w:lvl w:ilvl="0" w:tplc="D37E33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26516B4"/>
    <w:multiLevelType w:val="hybridMultilevel"/>
    <w:tmpl w:val="54ACBD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27B67C1"/>
    <w:multiLevelType w:val="hybridMultilevel"/>
    <w:tmpl w:val="36D03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3F61E6B"/>
    <w:multiLevelType w:val="hybridMultilevel"/>
    <w:tmpl w:val="853E2CEC"/>
    <w:lvl w:ilvl="0" w:tplc="55923754">
      <w:numFmt w:val="decimal"/>
      <w:lvlText w:val="2.%1"/>
      <w:lvlJc w:val="left"/>
      <w:pPr>
        <w:ind w:left="928"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48E6BB7"/>
    <w:multiLevelType w:val="hybridMultilevel"/>
    <w:tmpl w:val="31E48174"/>
    <w:lvl w:ilvl="0" w:tplc="2B4204C2">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116E21"/>
    <w:multiLevelType w:val="hybridMultilevel"/>
    <w:tmpl w:val="4A0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872A75"/>
    <w:multiLevelType w:val="hybridMultilevel"/>
    <w:tmpl w:val="29BA4FC6"/>
    <w:lvl w:ilvl="0" w:tplc="35C2D996">
      <w:start w:val="4"/>
      <w:numFmt w:val="decimal"/>
      <w:lvlText w:val="%1."/>
      <w:lvlJc w:val="left"/>
      <w:pPr>
        <w:tabs>
          <w:tab w:val="num" w:pos="388"/>
        </w:tabs>
        <w:ind w:left="388"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2">
    <w:nsid w:val="07197CCB"/>
    <w:multiLevelType w:val="hybridMultilevel"/>
    <w:tmpl w:val="878EB3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07877B10"/>
    <w:multiLevelType w:val="hybridMultilevel"/>
    <w:tmpl w:val="B05413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079171BA"/>
    <w:multiLevelType w:val="hybridMultilevel"/>
    <w:tmpl w:val="94003A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ACC641B"/>
    <w:multiLevelType w:val="multilevel"/>
    <w:tmpl w:val="6E6820B4"/>
    <w:lvl w:ilvl="0">
      <w:start w:val="1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0B95757F"/>
    <w:multiLevelType w:val="hybridMultilevel"/>
    <w:tmpl w:val="EE2E1CD8"/>
    <w:lvl w:ilvl="0" w:tplc="ECC25B30">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7">
    <w:nsid w:val="0BE33F39"/>
    <w:multiLevelType w:val="hybridMultilevel"/>
    <w:tmpl w:val="3DE27E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0E1B5D8C"/>
    <w:multiLevelType w:val="hybridMultilevel"/>
    <w:tmpl w:val="A9580FE4"/>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nsid w:val="0E212B0C"/>
    <w:multiLevelType w:val="hybridMultilevel"/>
    <w:tmpl w:val="56A6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0EF03CAE"/>
    <w:multiLevelType w:val="hybridMultilevel"/>
    <w:tmpl w:val="59823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FE904F2"/>
    <w:multiLevelType w:val="hybridMultilevel"/>
    <w:tmpl w:val="AA142B02"/>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293521B"/>
    <w:multiLevelType w:val="hybridMultilevel"/>
    <w:tmpl w:val="23608AD0"/>
    <w:lvl w:ilvl="0" w:tplc="918AD572">
      <w:start w:val="1"/>
      <w:numFmt w:val="bullet"/>
      <w:lvlText w:val=""/>
      <w:lvlJc w:val="left"/>
      <w:pPr>
        <w:tabs>
          <w:tab w:val="num" w:pos="720"/>
        </w:tabs>
        <w:ind w:left="720" w:hanging="360"/>
      </w:pPr>
      <w:rPr>
        <w:rFonts w:ascii="Symbol" w:hAnsi="Symbol" w:hint="default"/>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339237E"/>
    <w:multiLevelType w:val="hybridMultilevel"/>
    <w:tmpl w:val="852A17E0"/>
    <w:lvl w:ilvl="0" w:tplc="35C2D996">
      <w:start w:val="4"/>
      <w:numFmt w:val="decimal"/>
      <w:lvlText w:val="%1."/>
      <w:lvlJc w:val="left"/>
      <w:pPr>
        <w:tabs>
          <w:tab w:val="num" w:pos="374"/>
        </w:tabs>
        <w:ind w:left="374"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3653D61"/>
    <w:multiLevelType w:val="hybridMultilevel"/>
    <w:tmpl w:val="015208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147D2EB5"/>
    <w:multiLevelType w:val="multilevel"/>
    <w:tmpl w:val="8A682B0A"/>
    <w:lvl w:ilvl="0">
      <w:start w:val="7"/>
      <w:numFmt w:val="decimal"/>
      <w:lvlText w:val="%1."/>
      <w:lvlJc w:val="left"/>
      <w:pPr>
        <w:tabs>
          <w:tab w:val="num" w:pos="1080"/>
        </w:tabs>
        <w:ind w:left="1080" w:hanging="360"/>
      </w:pPr>
      <w:rPr>
        <w:rFonts w:hint="default"/>
        <w:color w:val="auto"/>
      </w:rPr>
    </w:lvl>
    <w:lvl w:ilvl="1">
      <w:numFmt w:val="decimal"/>
      <w:lvlText w:val="8.%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14D13F6F"/>
    <w:multiLevelType w:val="hybridMultilevel"/>
    <w:tmpl w:val="ED7C67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nsid w:val="168E677D"/>
    <w:multiLevelType w:val="multilevel"/>
    <w:tmpl w:val="EB6A08FA"/>
    <w:lvl w:ilvl="0">
      <w:numFmt w:val="decimal"/>
      <w:lvlText w:val="11.%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6992049"/>
    <w:multiLevelType w:val="hybridMultilevel"/>
    <w:tmpl w:val="936AB124"/>
    <w:lvl w:ilvl="0" w:tplc="ABDCA9CA">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7596FF9"/>
    <w:multiLevelType w:val="hybridMultilevel"/>
    <w:tmpl w:val="0A26CE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18F34F24"/>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18FD4D30"/>
    <w:multiLevelType w:val="hybridMultilevel"/>
    <w:tmpl w:val="B0706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19DD6ED1"/>
    <w:multiLevelType w:val="hybridMultilevel"/>
    <w:tmpl w:val="06FC71A8"/>
    <w:lvl w:ilvl="0" w:tplc="50E4D1A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A8A4F4A"/>
    <w:multiLevelType w:val="multilevel"/>
    <w:tmpl w:val="28FCAFD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1B665FB5"/>
    <w:multiLevelType w:val="hybridMultilevel"/>
    <w:tmpl w:val="EB12C9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1BA410D5"/>
    <w:multiLevelType w:val="hybridMultilevel"/>
    <w:tmpl w:val="B5EEF03C"/>
    <w:lvl w:ilvl="0" w:tplc="CA780994">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nsid w:val="1D20001C"/>
    <w:multiLevelType w:val="hybridMultilevel"/>
    <w:tmpl w:val="34E0D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E5E3390"/>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nsid w:val="1F874280"/>
    <w:multiLevelType w:val="hybridMultilevel"/>
    <w:tmpl w:val="E01659D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0D954C9"/>
    <w:multiLevelType w:val="hybridMultilevel"/>
    <w:tmpl w:val="25822DF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0">
    <w:nsid w:val="212136A4"/>
    <w:multiLevelType w:val="hybridMultilevel"/>
    <w:tmpl w:val="673835B2"/>
    <w:lvl w:ilvl="0" w:tplc="006A2CDC">
      <w:start w:val="17"/>
      <w:numFmt w:val="decimal"/>
      <w:lvlText w:val="%1."/>
      <w:lvlJc w:val="left"/>
      <w:pPr>
        <w:ind w:left="502" w:hanging="360"/>
      </w:pPr>
      <w:rPr>
        <w:rFonts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14E57B9"/>
    <w:multiLevelType w:val="hybridMultilevel"/>
    <w:tmpl w:val="5A3E5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215912ED"/>
    <w:multiLevelType w:val="hybridMultilevel"/>
    <w:tmpl w:val="8BC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1737982"/>
    <w:multiLevelType w:val="hybridMultilevel"/>
    <w:tmpl w:val="92AEBC64"/>
    <w:lvl w:ilvl="0" w:tplc="D5443308">
      <w:start w:val="1"/>
      <w:numFmt w:val="decimal"/>
      <w:lvlText w:val="%1.0"/>
      <w:lvlJc w:val="left"/>
      <w:pPr>
        <w:ind w:left="1094" w:hanging="360"/>
      </w:pPr>
      <w:rPr>
        <w:rFonts w:hint="default"/>
        <w:color w:val="auto"/>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4">
    <w:nsid w:val="21D174AE"/>
    <w:multiLevelType w:val="hybridMultilevel"/>
    <w:tmpl w:val="204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21D46865"/>
    <w:multiLevelType w:val="hybridMultilevel"/>
    <w:tmpl w:val="1AB26D1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nsid w:val="24256971"/>
    <w:multiLevelType w:val="hybridMultilevel"/>
    <w:tmpl w:val="D5B8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24A223E9"/>
    <w:multiLevelType w:val="hybridMultilevel"/>
    <w:tmpl w:val="B0486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24A62164"/>
    <w:multiLevelType w:val="hybridMultilevel"/>
    <w:tmpl w:val="7E82D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24E8181D"/>
    <w:multiLevelType w:val="multilevel"/>
    <w:tmpl w:val="9A9E3EE2"/>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0">
    <w:nsid w:val="2518537E"/>
    <w:multiLevelType w:val="hybridMultilevel"/>
    <w:tmpl w:val="973A0A7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51">
    <w:nsid w:val="263A4463"/>
    <w:multiLevelType w:val="hybridMultilevel"/>
    <w:tmpl w:val="9EA49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78A2155"/>
    <w:multiLevelType w:val="hybridMultilevel"/>
    <w:tmpl w:val="F66C3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7AF2E96"/>
    <w:multiLevelType w:val="hybridMultilevel"/>
    <w:tmpl w:val="E352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7E70F11"/>
    <w:multiLevelType w:val="hybridMultilevel"/>
    <w:tmpl w:val="86866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5">
    <w:nsid w:val="27EA00F3"/>
    <w:multiLevelType w:val="hybridMultilevel"/>
    <w:tmpl w:val="EF0E6CCA"/>
    <w:lvl w:ilvl="0" w:tplc="1DB4EF3A">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56">
    <w:nsid w:val="286B4228"/>
    <w:multiLevelType w:val="multilevel"/>
    <w:tmpl w:val="CFACB6AE"/>
    <w:lvl w:ilvl="0">
      <w:start w:val="4"/>
      <w:numFmt w:val="none"/>
      <w:lvlText w:val="2.5"/>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28AB6573"/>
    <w:multiLevelType w:val="hybridMultilevel"/>
    <w:tmpl w:val="107837E8"/>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28BB4DDE"/>
    <w:multiLevelType w:val="hybridMultilevel"/>
    <w:tmpl w:val="0BAC471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9">
    <w:nsid w:val="298A3D90"/>
    <w:multiLevelType w:val="hybridMultilevel"/>
    <w:tmpl w:val="79786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0">
    <w:nsid w:val="29A27558"/>
    <w:multiLevelType w:val="hybridMultilevel"/>
    <w:tmpl w:val="E09A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A094A58"/>
    <w:multiLevelType w:val="multilevel"/>
    <w:tmpl w:val="B7D26D04"/>
    <w:lvl w:ilvl="0">
      <w:numFmt w:val="decimal"/>
      <w:lvlText w:val="11.%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F122BF"/>
    <w:multiLevelType w:val="multilevel"/>
    <w:tmpl w:val="3CDE9028"/>
    <w:lvl w:ilvl="0">
      <w:numFmt w:val="decimal"/>
      <w:lvlText w:val="12.%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nsid w:val="2BE4738E"/>
    <w:multiLevelType w:val="hybridMultilevel"/>
    <w:tmpl w:val="DEC0E7B8"/>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BF50D20"/>
    <w:multiLevelType w:val="multilevel"/>
    <w:tmpl w:val="63B8F79C"/>
    <w:lvl w:ilvl="0">
      <w:start w:val="1"/>
      <w:numFmt w:val="none"/>
      <w:lvlText w:val="2.2"/>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BF758E0"/>
    <w:multiLevelType w:val="hybridMultilevel"/>
    <w:tmpl w:val="B0567E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2C3119E1"/>
    <w:multiLevelType w:val="hybridMultilevel"/>
    <w:tmpl w:val="E5D2504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8">
    <w:nsid w:val="2C8E05C0"/>
    <w:multiLevelType w:val="hybridMultilevel"/>
    <w:tmpl w:val="06A64F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nsid w:val="2CC943DE"/>
    <w:multiLevelType w:val="hybridMultilevel"/>
    <w:tmpl w:val="95EE368A"/>
    <w:lvl w:ilvl="0" w:tplc="024C8B12">
      <w:start w:val="2"/>
      <w:numFmt w:val="decimal"/>
      <w:lvlText w:val="%1."/>
      <w:lvlJc w:val="left"/>
      <w:pPr>
        <w:tabs>
          <w:tab w:val="num" w:pos="374"/>
        </w:tabs>
        <w:ind w:left="374" w:hanging="360"/>
      </w:pPr>
      <w:rPr>
        <w:rFonts w:hint="default"/>
      </w:rPr>
    </w:lvl>
    <w:lvl w:ilvl="1" w:tplc="6218A310">
      <w:start w:val="13"/>
      <w:numFmt w:val="decimal"/>
      <w:lvlText w:val="%2"/>
      <w:lvlJc w:val="left"/>
      <w:pPr>
        <w:tabs>
          <w:tab w:val="num" w:pos="1094"/>
        </w:tabs>
        <w:ind w:left="1094" w:hanging="360"/>
      </w:pPr>
      <w:rPr>
        <w:rFonts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0">
    <w:nsid w:val="2DB528A8"/>
    <w:multiLevelType w:val="hybridMultilevel"/>
    <w:tmpl w:val="880EF6BE"/>
    <w:lvl w:ilvl="0" w:tplc="12C2068C">
      <w:start w:val="12"/>
      <w:numFmt w:val="decimal"/>
      <w:lvlText w:val="%1."/>
      <w:lvlJc w:val="left"/>
      <w:pPr>
        <w:ind w:left="1070" w:hanging="360"/>
      </w:pPr>
      <w:rPr>
        <w:rFonts w:hint="default"/>
        <w:b w:val="0"/>
        <w:i w:val="0"/>
        <w:color w:val="auto"/>
        <w:u w:val="none"/>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1">
    <w:nsid w:val="2DFB2639"/>
    <w:multiLevelType w:val="hybridMultilevel"/>
    <w:tmpl w:val="406A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E4C492C"/>
    <w:multiLevelType w:val="hybridMultilevel"/>
    <w:tmpl w:val="D206C2F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3">
    <w:nsid w:val="2EFC33D1"/>
    <w:multiLevelType w:val="hybridMultilevel"/>
    <w:tmpl w:val="1A2EA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2F6D359A"/>
    <w:multiLevelType w:val="hybridMultilevel"/>
    <w:tmpl w:val="3298557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5">
    <w:nsid w:val="2FCD76BB"/>
    <w:multiLevelType w:val="hybridMultilevel"/>
    <w:tmpl w:val="7A42A87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76">
    <w:nsid w:val="30CF2BF8"/>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7">
    <w:nsid w:val="32035AA1"/>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8">
    <w:nsid w:val="32355375"/>
    <w:multiLevelType w:val="hybridMultilevel"/>
    <w:tmpl w:val="F7E49B7A"/>
    <w:lvl w:ilvl="0" w:tplc="83085B50">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327C085C"/>
    <w:multiLevelType w:val="hybridMultilevel"/>
    <w:tmpl w:val="7C66D0AC"/>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nsid w:val="33D82630"/>
    <w:multiLevelType w:val="hybridMultilevel"/>
    <w:tmpl w:val="4EC8E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1">
    <w:nsid w:val="357D31E5"/>
    <w:multiLevelType w:val="multilevel"/>
    <w:tmpl w:val="47F6290E"/>
    <w:numStyleLink w:val="Style2"/>
  </w:abstractNum>
  <w:abstractNum w:abstractNumId="82">
    <w:nsid w:val="35B52ADE"/>
    <w:multiLevelType w:val="hybridMultilevel"/>
    <w:tmpl w:val="804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6342879"/>
    <w:multiLevelType w:val="multilevel"/>
    <w:tmpl w:val="47F6290E"/>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36D66CCE"/>
    <w:multiLevelType w:val="hybridMultilevel"/>
    <w:tmpl w:val="CB94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7266F7D"/>
    <w:multiLevelType w:val="hybridMultilevel"/>
    <w:tmpl w:val="9812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37865C6F"/>
    <w:multiLevelType w:val="hybridMultilevel"/>
    <w:tmpl w:val="EDA45B68"/>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38556009"/>
    <w:multiLevelType w:val="hybridMultilevel"/>
    <w:tmpl w:val="180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A866BDE"/>
    <w:multiLevelType w:val="multilevel"/>
    <w:tmpl w:val="CA0E03F2"/>
    <w:lvl w:ilvl="0">
      <w:numFmt w:val="decimal"/>
      <w:lvlText w:val="10.%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3AAE57D0"/>
    <w:multiLevelType w:val="hybridMultilevel"/>
    <w:tmpl w:val="19FAF35C"/>
    <w:lvl w:ilvl="0" w:tplc="08090001">
      <w:start w:val="1"/>
      <w:numFmt w:val="bullet"/>
      <w:lvlText w:val=""/>
      <w:lvlJc w:val="left"/>
      <w:pPr>
        <w:ind w:left="780" w:hanging="360"/>
      </w:pPr>
      <w:rPr>
        <w:rFonts w:ascii="Symbol" w:hAnsi="Symbol" w:hint="default"/>
      </w:rPr>
    </w:lvl>
    <w:lvl w:ilvl="1" w:tplc="CF8A885E">
      <w:numFmt w:val="bullet"/>
      <w:lvlText w:val="•"/>
      <w:lvlJc w:val="left"/>
      <w:pPr>
        <w:ind w:left="1500" w:hanging="360"/>
      </w:pPr>
      <w:rPr>
        <w:rFonts w:ascii="Arial" w:eastAsia="Times New Roman" w:hAnsi="Arial" w:cs="Arial" w:hint="default"/>
      </w:rPr>
    </w:lvl>
    <w:lvl w:ilvl="2" w:tplc="CF8A885E">
      <w:numFmt w:val="bullet"/>
      <w:lvlText w:val="•"/>
      <w:lvlJc w:val="left"/>
      <w:pPr>
        <w:ind w:left="2220" w:hanging="360"/>
      </w:pPr>
      <w:rPr>
        <w:rFonts w:ascii="Arial" w:eastAsia="Times New Roman" w:hAnsi="Arial" w:cs="Arial"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0">
    <w:nsid w:val="3B0F7A83"/>
    <w:multiLevelType w:val="multilevel"/>
    <w:tmpl w:val="434069BA"/>
    <w:lvl w:ilvl="0">
      <w:start w:val="1"/>
      <w:numFmt w:val="decimal"/>
      <w:lvlText w:val="5.%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3BC6611C"/>
    <w:multiLevelType w:val="hybridMultilevel"/>
    <w:tmpl w:val="6EA2A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2">
    <w:nsid w:val="3CD201FB"/>
    <w:multiLevelType w:val="hybridMultilevel"/>
    <w:tmpl w:val="69F8A666"/>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3CD755F4"/>
    <w:multiLevelType w:val="multilevel"/>
    <w:tmpl w:val="4E2C6A2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3D326210"/>
    <w:multiLevelType w:val="multilevel"/>
    <w:tmpl w:val="2446F1BA"/>
    <w:lvl w:ilvl="0">
      <w:numFmt w:val="decimal"/>
      <w:lvlText w:val="3.%1"/>
      <w:lvlJc w:val="left"/>
      <w:pPr>
        <w:ind w:left="644"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3D5700F5"/>
    <w:multiLevelType w:val="hybridMultilevel"/>
    <w:tmpl w:val="536849F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96">
    <w:nsid w:val="3DD83FD8"/>
    <w:multiLevelType w:val="hybridMultilevel"/>
    <w:tmpl w:val="C150B476"/>
    <w:lvl w:ilvl="0" w:tplc="9F9A3D30">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FD92CA4"/>
    <w:multiLevelType w:val="hybridMultilevel"/>
    <w:tmpl w:val="A0D6C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nsid w:val="4259134D"/>
    <w:multiLevelType w:val="hybridMultilevel"/>
    <w:tmpl w:val="36F0EF7A"/>
    <w:lvl w:ilvl="0" w:tplc="918AD572">
      <w:start w:val="1"/>
      <w:numFmt w:val="bullet"/>
      <w:lvlText w:val=""/>
      <w:lvlJc w:val="left"/>
      <w:pPr>
        <w:tabs>
          <w:tab w:val="num" w:pos="1440"/>
        </w:tabs>
        <w:ind w:left="1440" w:hanging="360"/>
      </w:pPr>
      <w:rPr>
        <w:rFonts w:ascii="Symbol" w:hAnsi="Symbol" w:hint="default"/>
        <w:b w:val="0"/>
        <w:i w:val="0"/>
      </w:rPr>
    </w:lvl>
    <w:lvl w:ilvl="1" w:tplc="F2962836">
      <w:start w:val="1"/>
      <w:numFmt w:val="lowerLetter"/>
      <w:lvlText w:val="%2."/>
      <w:lvlJc w:val="left"/>
      <w:pPr>
        <w:tabs>
          <w:tab w:val="num" w:pos="2146"/>
        </w:tabs>
        <w:ind w:left="2146" w:hanging="360"/>
      </w:pPr>
      <w:rPr>
        <w:rFonts w:hint="default"/>
      </w:rPr>
    </w:lvl>
    <w:lvl w:ilvl="2" w:tplc="0409001B">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99">
    <w:nsid w:val="42975DFE"/>
    <w:multiLevelType w:val="multilevel"/>
    <w:tmpl w:val="F0965D6A"/>
    <w:lvl w:ilvl="0">
      <w:start w:val="1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0">
    <w:nsid w:val="43590225"/>
    <w:multiLevelType w:val="hybridMultilevel"/>
    <w:tmpl w:val="4ED0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4C15AF8"/>
    <w:multiLevelType w:val="hybridMultilevel"/>
    <w:tmpl w:val="3690AFFE"/>
    <w:lvl w:ilvl="0" w:tplc="76A88B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45CE20FB"/>
    <w:multiLevelType w:val="hybridMultilevel"/>
    <w:tmpl w:val="215E8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7C3902"/>
    <w:multiLevelType w:val="multilevel"/>
    <w:tmpl w:val="C08E94EC"/>
    <w:lvl w:ilvl="0">
      <w:numFmt w:val="decimal"/>
      <w:lvlText w:val="13.%1"/>
      <w:lvlJc w:val="left"/>
      <w:pPr>
        <w:ind w:left="468" w:hanging="468"/>
      </w:pPr>
      <w:rPr>
        <w:rFonts w:hint="default"/>
        <w:b/>
      </w:rPr>
    </w:lvl>
    <w:lvl w:ilvl="1">
      <w:start w:val="1"/>
      <w:numFmt w:val="decimal"/>
      <w:lvlText w:val="%1.%2"/>
      <w:lvlJc w:val="left"/>
      <w:pPr>
        <w:ind w:left="1188" w:hanging="468"/>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04">
    <w:nsid w:val="46E466A4"/>
    <w:multiLevelType w:val="hybridMultilevel"/>
    <w:tmpl w:val="034CF9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nsid w:val="486F1820"/>
    <w:multiLevelType w:val="hybridMultilevel"/>
    <w:tmpl w:val="95F08DDE"/>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06">
    <w:nsid w:val="495D41FC"/>
    <w:multiLevelType w:val="hybridMultilevel"/>
    <w:tmpl w:val="8676FD90"/>
    <w:lvl w:ilvl="0" w:tplc="37344528">
      <w:start w:val="7"/>
      <w:numFmt w:val="decimal"/>
      <w:lvlText w:val="3.%1"/>
      <w:lvlJc w:val="left"/>
      <w:pPr>
        <w:ind w:left="502" w:hanging="360"/>
      </w:pPr>
      <w:rPr>
        <w:rFonts w:hint="default"/>
        <w:b w:val="0"/>
        <w:color w:val="000000" w:themeColor="text1"/>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7">
    <w:nsid w:val="49FE5850"/>
    <w:multiLevelType w:val="hybridMultilevel"/>
    <w:tmpl w:val="A994036E"/>
    <w:lvl w:ilvl="0" w:tplc="E5DA7E06">
      <w:start w:val="1"/>
      <w:numFmt w:val="bullet"/>
      <w:lvlText w:val=""/>
      <w:lvlJc w:val="left"/>
      <w:pPr>
        <w:ind w:left="1094" w:hanging="360"/>
      </w:pPr>
      <w:rPr>
        <w:rFonts w:ascii="Symbol" w:hAnsi="Symbol" w:hint="default"/>
        <w:color w:val="000000" w:themeColor="text1"/>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08">
    <w:nsid w:val="4A4B5D83"/>
    <w:multiLevelType w:val="hybridMultilevel"/>
    <w:tmpl w:val="71729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nsid w:val="4A4C037F"/>
    <w:multiLevelType w:val="hybridMultilevel"/>
    <w:tmpl w:val="94E8FED2"/>
    <w:lvl w:ilvl="0" w:tplc="E4F2C87A">
      <w:numFmt w:val="decimal"/>
      <w:lvlText w:val="4.%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4BAF3A1F"/>
    <w:multiLevelType w:val="hybridMultilevel"/>
    <w:tmpl w:val="E0C221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1">
    <w:nsid w:val="4D8C431B"/>
    <w:multiLevelType w:val="hybridMultilevel"/>
    <w:tmpl w:val="58A8A996"/>
    <w:lvl w:ilvl="0" w:tplc="2C38D10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4E096397"/>
    <w:multiLevelType w:val="hybridMultilevel"/>
    <w:tmpl w:val="B9A226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3">
    <w:nsid w:val="4F0E16BD"/>
    <w:multiLevelType w:val="hybridMultilevel"/>
    <w:tmpl w:val="2ED0272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F622358"/>
    <w:multiLevelType w:val="multilevel"/>
    <w:tmpl w:val="2B6C1588"/>
    <w:lvl w:ilvl="0">
      <w:numFmt w:val="decimal"/>
      <w:lvlText w:val="10.%1"/>
      <w:lvlJc w:val="left"/>
      <w:pPr>
        <w:ind w:left="928"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50842635"/>
    <w:multiLevelType w:val="hybridMultilevel"/>
    <w:tmpl w:val="5C9E7AB4"/>
    <w:lvl w:ilvl="0" w:tplc="F9386E86">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51031E3B"/>
    <w:multiLevelType w:val="hybridMultilevel"/>
    <w:tmpl w:val="E392F65C"/>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13E7DD3"/>
    <w:multiLevelType w:val="singleLevel"/>
    <w:tmpl w:val="46D6CBD2"/>
    <w:lvl w:ilvl="0">
      <w:start w:val="1"/>
      <w:numFmt w:val="bullet"/>
      <w:pStyle w:val="bullet4"/>
      <w:lvlText w:val=""/>
      <w:lvlJc w:val="left"/>
      <w:pPr>
        <w:tabs>
          <w:tab w:val="num" w:pos="360"/>
        </w:tabs>
        <w:ind w:left="340" w:hanging="340"/>
      </w:pPr>
      <w:rPr>
        <w:rFonts w:ascii="Wingdings" w:hAnsi="Wingdings" w:hint="default"/>
      </w:rPr>
    </w:lvl>
  </w:abstractNum>
  <w:abstractNum w:abstractNumId="118">
    <w:nsid w:val="51835637"/>
    <w:multiLevelType w:val="hybridMultilevel"/>
    <w:tmpl w:val="B12EAC28"/>
    <w:lvl w:ilvl="0" w:tplc="F61A0F00">
      <w:start w:val="4"/>
      <w:numFmt w:val="decimal"/>
      <w:lvlText w:val="2.%1"/>
      <w:lvlJc w:val="left"/>
      <w:pPr>
        <w:ind w:left="928"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29B3C00"/>
    <w:multiLevelType w:val="hybridMultilevel"/>
    <w:tmpl w:val="055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29E35D1"/>
    <w:multiLevelType w:val="hybridMultilevel"/>
    <w:tmpl w:val="910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31937DB"/>
    <w:multiLevelType w:val="multilevel"/>
    <w:tmpl w:val="22B2843E"/>
    <w:lvl w:ilvl="0">
      <w:numFmt w:val="decimal"/>
      <w:lvlText w:val="14.%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2">
    <w:nsid w:val="54352BCE"/>
    <w:multiLevelType w:val="hybridMultilevel"/>
    <w:tmpl w:val="D688AD34"/>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nsid w:val="54FE5210"/>
    <w:multiLevelType w:val="hybridMultilevel"/>
    <w:tmpl w:val="E2661E6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55AD1129"/>
    <w:multiLevelType w:val="hybridMultilevel"/>
    <w:tmpl w:val="45288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57133C9F"/>
    <w:multiLevelType w:val="multilevel"/>
    <w:tmpl w:val="435EBA48"/>
    <w:lvl w:ilvl="0">
      <w:numFmt w:val="decimal"/>
      <w:lvlText w:val="9.%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6">
    <w:nsid w:val="574C5856"/>
    <w:multiLevelType w:val="multilevel"/>
    <w:tmpl w:val="F5FC810E"/>
    <w:lvl w:ilvl="0">
      <w:numFmt w:val="decimal"/>
      <w:lvlText w:val="1.%1"/>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7">
    <w:nsid w:val="5901377F"/>
    <w:multiLevelType w:val="hybridMultilevel"/>
    <w:tmpl w:val="690A0742"/>
    <w:lvl w:ilvl="0" w:tplc="08090001">
      <w:start w:val="1"/>
      <w:numFmt w:val="bullet"/>
      <w:lvlText w:val=""/>
      <w:lvlJc w:val="left"/>
      <w:pPr>
        <w:ind w:left="720" w:hanging="360"/>
      </w:pPr>
      <w:rPr>
        <w:rFonts w:ascii="Symbol" w:hAnsi="Symbol" w:hint="default"/>
      </w:rPr>
    </w:lvl>
    <w:lvl w:ilvl="1" w:tplc="E5DA7E06">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C352F56"/>
    <w:multiLevelType w:val="hybridMultilevel"/>
    <w:tmpl w:val="D052765C"/>
    <w:lvl w:ilvl="0" w:tplc="63C261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5C7531E8"/>
    <w:multiLevelType w:val="hybridMultilevel"/>
    <w:tmpl w:val="157C8F1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0">
    <w:nsid w:val="5D490F7E"/>
    <w:multiLevelType w:val="hybridMultilevel"/>
    <w:tmpl w:val="E3586A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5E2205DF"/>
    <w:multiLevelType w:val="hybridMultilevel"/>
    <w:tmpl w:val="ED1C0E7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2">
    <w:nsid w:val="5E6A5D32"/>
    <w:multiLevelType w:val="multilevel"/>
    <w:tmpl w:val="15108C60"/>
    <w:lvl w:ilvl="0">
      <w:numFmt w:val="decimal"/>
      <w:lvlText w:val="10.%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61000C7E"/>
    <w:multiLevelType w:val="hybridMultilevel"/>
    <w:tmpl w:val="A3825BB6"/>
    <w:lvl w:ilvl="0" w:tplc="E5DA7E06">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4">
    <w:nsid w:val="616F1889"/>
    <w:multiLevelType w:val="multilevel"/>
    <w:tmpl w:val="F0D484B0"/>
    <w:lvl w:ilvl="0">
      <w:start w:val="1"/>
      <w:numFmt w:val="decimal"/>
      <w:lvlText w:val="%1."/>
      <w:lvlJc w:val="left"/>
      <w:pPr>
        <w:tabs>
          <w:tab w:val="num" w:pos="1080"/>
        </w:tabs>
        <w:ind w:left="1080" w:hanging="360"/>
      </w:pPr>
      <w:rPr>
        <w:rFonts w:hint="default"/>
        <w:color w:val="auto"/>
      </w:rPr>
    </w:lvl>
    <w:lvl w:ilvl="1">
      <w:start w:val="1"/>
      <w:numFmt w:val="decimal"/>
      <w:lvlText w:val="6.%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5">
    <w:nsid w:val="623C592F"/>
    <w:multiLevelType w:val="hybridMultilevel"/>
    <w:tmpl w:val="5DCA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nsid w:val="62C6215A"/>
    <w:multiLevelType w:val="hybridMultilevel"/>
    <w:tmpl w:val="78E8CDC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7">
    <w:nsid w:val="632C544C"/>
    <w:multiLevelType w:val="multilevel"/>
    <w:tmpl w:val="47F6290E"/>
    <w:styleLink w:val="Style2"/>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666D33DB"/>
    <w:multiLevelType w:val="hybridMultilevel"/>
    <w:tmpl w:val="3BAEFFB2"/>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139">
    <w:nsid w:val="669E7696"/>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0">
    <w:nsid w:val="66DC4822"/>
    <w:multiLevelType w:val="multilevel"/>
    <w:tmpl w:val="6DBAE5D4"/>
    <w:lvl w:ilvl="0">
      <w:start w:val="1"/>
      <w:numFmt w:val="decimal"/>
      <w:lvlText w:val="%1"/>
      <w:lvlJc w:val="left"/>
      <w:pPr>
        <w:ind w:left="360" w:hanging="360"/>
      </w:pPr>
      <w:rPr>
        <w:rFonts w:hint="default"/>
      </w:rPr>
    </w:lvl>
    <w:lvl w:ilvl="1">
      <w:start w:val="2"/>
      <w:numFmt w:val="decimal"/>
      <w:lvlText w:val="%1.%2"/>
      <w:lvlJc w:val="left"/>
      <w:pPr>
        <w:ind w:left="1806"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141">
    <w:nsid w:val="675D19DF"/>
    <w:multiLevelType w:val="multilevel"/>
    <w:tmpl w:val="5986C6E2"/>
    <w:lvl w:ilvl="0">
      <w:start w:val="10"/>
      <w:numFmt w:val="decimal"/>
      <w:lvlText w:val="%1.0"/>
      <w:lvlJc w:val="left"/>
      <w:pPr>
        <w:ind w:left="184" w:hanging="468"/>
      </w:pPr>
      <w:rPr>
        <w:rFonts w:hint="default"/>
      </w:rPr>
    </w:lvl>
    <w:lvl w:ilvl="1">
      <w:start w:val="1"/>
      <w:numFmt w:val="decimal"/>
      <w:lvlText w:val="%1.%2"/>
      <w:lvlJc w:val="left"/>
      <w:pPr>
        <w:ind w:left="904" w:hanging="468"/>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276" w:hanging="1800"/>
      </w:pPr>
      <w:rPr>
        <w:rFonts w:hint="default"/>
      </w:rPr>
    </w:lvl>
  </w:abstractNum>
  <w:abstractNum w:abstractNumId="142">
    <w:nsid w:val="68055AD0"/>
    <w:multiLevelType w:val="hybridMultilevel"/>
    <w:tmpl w:val="428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A964D2C"/>
    <w:multiLevelType w:val="hybridMultilevel"/>
    <w:tmpl w:val="8804A8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nsid w:val="6A9A5BCC"/>
    <w:multiLevelType w:val="hybridMultilevel"/>
    <w:tmpl w:val="994E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C733FCE"/>
    <w:multiLevelType w:val="multilevel"/>
    <w:tmpl w:val="BF62B404"/>
    <w:lvl w:ilvl="0">
      <w:start w:val="1"/>
      <w:numFmt w:val="decimal"/>
      <w:lvlText w:val="4.%1"/>
      <w:lvlJc w:val="left"/>
      <w:pPr>
        <w:ind w:left="644"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6CAB39ED"/>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7">
    <w:nsid w:val="6D733245"/>
    <w:multiLevelType w:val="multilevel"/>
    <w:tmpl w:val="9514A2EE"/>
    <w:lvl w:ilvl="0">
      <w:start w:val="1"/>
      <w:numFmt w:val="decimal"/>
      <w:lvlText w:val="2.5%1"/>
      <w:lvlJc w:val="center"/>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6D790E84"/>
    <w:multiLevelType w:val="hybridMultilevel"/>
    <w:tmpl w:val="F2EAAD4A"/>
    <w:lvl w:ilvl="0" w:tplc="35D8283C">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6DBD30F9"/>
    <w:multiLevelType w:val="hybridMultilevel"/>
    <w:tmpl w:val="E050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DD252A9"/>
    <w:multiLevelType w:val="hybridMultilevel"/>
    <w:tmpl w:val="C6FC5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nsid w:val="6EA57E58"/>
    <w:multiLevelType w:val="hybridMultilevel"/>
    <w:tmpl w:val="9CD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ED82D35"/>
    <w:multiLevelType w:val="hybridMultilevel"/>
    <w:tmpl w:val="16FCFF7E"/>
    <w:lvl w:ilvl="0" w:tplc="918AD572">
      <w:start w:val="1"/>
      <w:numFmt w:val="bullet"/>
      <w:lvlText w:val=""/>
      <w:lvlJc w:val="left"/>
      <w:pPr>
        <w:tabs>
          <w:tab w:val="num" w:pos="734"/>
        </w:tabs>
        <w:ind w:left="734" w:hanging="360"/>
      </w:pPr>
      <w:rPr>
        <w:rFonts w:ascii="Symbol" w:hAnsi="Symbol" w:hint="default"/>
        <w:b w:val="0"/>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16F09FF"/>
    <w:multiLevelType w:val="hybridMultilevel"/>
    <w:tmpl w:val="7C86A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4">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55">
    <w:nsid w:val="73096698"/>
    <w:multiLevelType w:val="hybridMultilevel"/>
    <w:tmpl w:val="9DE0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6">
    <w:nsid w:val="740A7CC1"/>
    <w:multiLevelType w:val="hybridMultilevel"/>
    <w:tmpl w:val="866C4A70"/>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766A0175"/>
    <w:multiLevelType w:val="multilevel"/>
    <w:tmpl w:val="1848F0A8"/>
    <w:lvl w:ilvl="0">
      <w:start w:val="10"/>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8">
    <w:nsid w:val="77BB0786"/>
    <w:multiLevelType w:val="multilevel"/>
    <w:tmpl w:val="BDB429C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9">
    <w:nsid w:val="793662A1"/>
    <w:multiLevelType w:val="hybridMultilevel"/>
    <w:tmpl w:val="D0F24C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0">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B757DD4"/>
    <w:multiLevelType w:val="hybridMultilevel"/>
    <w:tmpl w:val="E8C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C134343"/>
    <w:multiLevelType w:val="hybridMultilevel"/>
    <w:tmpl w:val="6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C1C049A"/>
    <w:multiLevelType w:val="hybridMultilevel"/>
    <w:tmpl w:val="8CA62476"/>
    <w:lvl w:ilvl="0" w:tplc="A838E722">
      <w:start w:val="4"/>
      <w:numFmt w:val="decimal"/>
      <w:lvlText w:val="2.%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7CB038E9"/>
    <w:multiLevelType w:val="hybridMultilevel"/>
    <w:tmpl w:val="127096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5">
    <w:nsid w:val="7D155D02"/>
    <w:multiLevelType w:val="hybridMultilevel"/>
    <w:tmpl w:val="B5EC8F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6">
    <w:nsid w:val="7D7F40B0"/>
    <w:multiLevelType w:val="hybridMultilevel"/>
    <w:tmpl w:val="CE3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D7F5032"/>
    <w:multiLevelType w:val="hybridMultilevel"/>
    <w:tmpl w:val="206891E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68">
    <w:nsid w:val="7DA57480"/>
    <w:multiLevelType w:val="hybridMultilevel"/>
    <w:tmpl w:val="A7DE6842"/>
    <w:lvl w:ilvl="0" w:tplc="E5DA7E06">
      <w:start w:val="1"/>
      <w:numFmt w:val="bullet"/>
      <w:lvlText w:val=""/>
      <w:lvlJc w:val="left"/>
      <w:pPr>
        <w:ind w:left="2007" w:hanging="360"/>
      </w:pPr>
      <w:rPr>
        <w:rFonts w:ascii="Symbol" w:hAnsi="Symbol" w:hint="default"/>
        <w:color w:val="000000" w:themeColor="text1"/>
      </w:rPr>
    </w:lvl>
    <w:lvl w:ilvl="1" w:tplc="CF8A885E">
      <w:numFmt w:val="bullet"/>
      <w:lvlText w:val="•"/>
      <w:lvlJc w:val="left"/>
      <w:pPr>
        <w:ind w:left="2727" w:hanging="360"/>
      </w:pPr>
      <w:rPr>
        <w:rFonts w:ascii="Arial" w:eastAsia="Times New Roman" w:hAnsi="Arial" w:cs="Arial"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69">
    <w:nsid w:val="7DCA1478"/>
    <w:multiLevelType w:val="hybridMultilevel"/>
    <w:tmpl w:val="CF9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EC04DC2"/>
    <w:multiLevelType w:val="hybridMultilevel"/>
    <w:tmpl w:val="61961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7"/>
  </w:num>
  <w:num w:numId="2">
    <w:abstractNumId w:val="154"/>
  </w:num>
  <w:num w:numId="3">
    <w:abstractNumId w:val="134"/>
  </w:num>
  <w:num w:numId="4">
    <w:abstractNumId w:val="22"/>
  </w:num>
  <w:num w:numId="5">
    <w:abstractNumId w:val="152"/>
  </w:num>
  <w:num w:numId="6">
    <w:abstractNumId w:val="98"/>
  </w:num>
  <w:num w:numId="7">
    <w:abstractNumId w:val="150"/>
  </w:num>
  <w:num w:numId="8">
    <w:abstractNumId w:val="69"/>
  </w:num>
  <w:num w:numId="9">
    <w:abstractNumId w:val="55"/>
  </w:num>
  <w:num w:numId="10">
    <w:abstractNumId w:val="42"/>
  </w:num>
  <w:num w:numId="11">
    <w:abstractNumId w:val="31"/>
  </w:num>
  <w:num w:numId="12">
    <w:abstractNumId w:val="119"/>
  </w:num>
  <w:num w:numId="13">
    <w:abstractNumId w:val="126"/>
  </w:num>
  <w:num w:numId="14">
    <w:abstractNumId w:val="85"/>
  </w:num>
  <w:num w:numId="15">
    <w:abstractNumId w:val="23"/>
  </w:num>
  <w:num w:numId="16">
    <w:abstractNumId w:val="11"/>
  </w:num>
  <w:num w:numId="17">
    <w:abstractNumId w:val="95"/>
  </w:num>
  <w:num w:numId="18">
    <w:abstractNumId w:val="32"/>
  </w:num>
  <w:num w:numId="19">
    <w:abstractNumId w:val="124"/>
  </w:num>
  <w:num w:numId="20">
    <w:abstractNumId w:val="160"/>
  </w:num>
  <w:num w:numId="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1"/>
  </w:num>
  <w:num w:numId="23">
    <w:abstractNumId w:val="120"/>
  </w:num>
  <w:num w:numId="24">
    <w:abstractNumId w:val="113"/>
  </w:num>
  <w:num w:numId="25">
    <w:abstractNumId w:val="63"/>
  </w:num>
  <w:num w:numId="26">
    <w:abstractNumId w:val="64"/>
  </w:num>
  <w:num w:numId="27">
    <w:abstractNumId w:val="21"/>
  </w:num>
  <w:num w:numId="28">
    <w:abstractNumId w:val="92"/>
  </w:num>
  <w:num w:numId="29">
    <w:abstractNumId w:val="16"/>
  </w:num>
  <w:num w:numId="30">
    <w:abstractNumId w:val="58"/>
  </w:num>
  <w:num w:numId="31">
    <w:abstractNumId w:val="149"/>
  </w:num>
  <w:num w:numId="32">
    <w:abstractNumId w:val="37"/>
  </w:num>
  <w:num w:numId="33">
    <w:abstractNumId w:val="139"/>
  </w:num>
  <w:num w:numId="34">
    <w:abstractNumId w:val="30"/>
  </w:num>
  <w:num w:numId="35">
    <w:abstractNumId w:val="59"/>
  </w:num>
  <w:num w:numId="36">
    <w:abstractNumId w:val="129"/>
  </w:num>
  <w:num w:numId="37">
    <w:abstractNumId w:val="129"/>
  </w:num>
  <w:num w:numId="38">
    <w:abstractNumId w:val="87"/>
  </w:num>
  <w:num w:numId="39">
    <w:abstractNumId w:val="76"/>
  </w:num>
  <w:num w:numId="40">
    <w:abstractNumId w:val="77"/>
  </w:num>
  <w:num w:numId="41">
    <w:abstractNumId w:val="7"/>
  </w:num>
  <w:num w:numId="42">
    <w:abstractNumId w:val="5"/>
  </w:num>
  <w:num w:numId="4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9"/>
  </w:num>
  <w:num w:numId="46">
    <w:abstractNumId w:val="167"/>
  </w:num>
  <w:num w:numId="47">
    <w:abstractNumId w:val="162"/>
  </w:num>
  <w:num w:numId="48">
    <w:abstractNumId w:val="80"/>
  </w:num>
  <w:num w:numId="49">
    <w:abstractNumId w:val="130"/>
  </w:num>
  <w:num w:numId="50">
    <w:abstractNumId w:val="67"/>
  </w:num>
  <w:num w:numId="51">
    <w:abstractNumId w:val="54"/>
  </w:num>
  <w:num w:numId="52">
    <w:abstractNumId w:val="19"/>
  </w:num>
  <w:num w:numId="53">
    <w:abstractNumId w:val="91"/>
  </w:num>
  <w:num w:numId="54">
    <w:abstractNumId w:val="44"/>
  </w:num>
  <w:num w:numId="55">
    <w:abstractNumId w:val="112"/>
  </w:num>
  <w:num w:numId="56">
    <w:abstractNumId w:val="160"/>
  </w:num>
  <w:num w:numId="57">
    <w:abstractNumId w:val="151"/>
  </w:num>
  <w:num w:numId="58">
    <w:abstractNumId w:val="10"/>
  </w:num>
  <w:num w:numId="59">
    <w:abstractNumId w:val="36"/>
  </w:num>
  <w:num w:numId="60">
    <w:abstractNumId w:val="48"/>
  </w:num>
  <w:num w:numId="61">
    <w:abstractNumId w:val="53"/>
  </w:num>
  <w:num w:numId="62">
    <w:abstractNumId w:val="35"/>
  </w:num>
  <w:num w:numId="63">
    <w:abstractNumId w:val="146"/>
  </w:num>
  <w:num w:numId="64">
    <w:abstractNumId w:val="4"/>
  </w:num>
  <w:num w:numId="65">
    <w:abstractNumId w:val="127"/>
  </w:num>
  <w:num w:numId="66">
    <w:abstractNumId w:val="72"/>
  </w:num>
  <w:num w:numId="67">
    <w:abstractNumId w:val="34"/>
  </w:num>
  <w:num w:numId="68">
    <w:abstractNumId w:val="74"/>
  </w:num>
  <w:num w:numId="69">
    <w:abstractNumId w:val="6"/>
  </w:num>
  <w:num w:numId="70">
    <w:abstractNumId w:val="24"/>
  </w:num>
  <w:num w:numId="71">
    <w:abstractNumId w:val="20"/>
  </w:num>
  <w:num w:numId="72">
    <w:abstractNumId w:val="166"/>
  </w:num>
  <w:num w:numId="73">
    <w:abstractNumId w:val="70"/>
  </w:num>
  <w:num w:numId="74">
    <w:abstractNumId w:val="12"/>
  </w:num>
  <w:num w:numId="75">
    <w:abstractNumId w:val="59"/>
  </w:num>
  <w:num w:numId="76">
    <w:abstractNumId w:val="129"/>
  </w:num>
  <w:num w:numId="77">
    <w:abstractNumId w:val="128"/>
  </w:num>
  <w:num w:numId="78">
    <w:abstractNumId w:val="40"/>
  </w:num>
  <w:num w:numId="79">
    <w:abstractNumId w:val="29"/>
  </w:num>
  <w:num w:numId="80">
    <w:abstractNumId w:val="7"/>
  </w:num>
  <w:num w:numId="81">
    <w:abstractNumId w:val="60"/>
  </w:num>
  <w:num w:numId="82">
    <w:abstractNumId w:val="105"/>
  </w:num>
  <w:num w:numId="83">
    <w:abstractNumId w:val="73"/>
  </w:num>
  <w:num w:numId="84">
    <w:abstractNumId w:val="14"/>
  </w:num>
  <w:num w:numId="85">
    <w:abstractNumId w:val="153"/>
  </w:num>
  <w:num w:numId="86">
    <w:abstractNumId w:val="107"/>
  </w:num>
  <w:num w:numId="87">
    <w:abstractNumId w:val="71"/>
  </w:num>
  <w:num w:numId="88">
    <w:abstractNumId w:val="169"/>
  </w:num>
  <w:num w:numId="89">
    <w:abstractNumId w:val="115"/>
  </w:num>
  <w:num w:numId="90">
    <w:abstractNumId w:val="82"/>
  </w:num>
  <w:num w:numId="91">
    <w:abstractNumId w:val="135"/>
  </w:num>
  <w:num w:numId="92">
    <w:abstractNumId w:val="12"/>
  </w:num>
  <w:num w:numId="93">
    <w:abstractNumId w:val="46"/>
  </w:num>
  <w:num w:numId="94">
    <w:abstractNumId w:val="45"/>
  </w:num>
  <w:num w:numId="95">
    <w:abstractNumId w:val="142"/>
  </w:num>
  <w:num w:numId="96">
    <w:abstractNumId w:val="138"/>
  </w:num>
  <w:num w:numId="97">
    <w:abstractNumId w:val="18"/>
  </w:num>
  <w:num w:numId="98">
    <w:abstractNumId w:val="133"/>
  </w:num>
  <w:num w:numId="99">
    <w:abstractNumId w:val="79"/>
  </w:num>
  <w:num w:numId="100">
    <w:abstractNumId w:val="81"/>
    <w:lvlOverride w:ilvl="0">
      <w:lvl w:ilvl="0">
        <w:start w:val="1"/>
        <w:numFmt w:val="none"/>
        <w:lvlText w:val="2.3"/>
        <w:lvlJc w:val="left"/>
        <w:pPr>
          <w:ind w:left="360" w:hanging="360"/>
        </w:pPr>
        <w:rPr>
          <w:rFonts w:hint="default"/>
          <w:b w:val="0"/>
          <w:i w:val="0"/>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147"/>
  </w:num>
  <w:num w:numId="102">
    <w:abstractNumId w:val="116"/>
  </w:num>
  <w:num w:numId="103">
    <w:abstractNumId w:val="8"/>
  </w:num>
  <w:num w:numId="104">
    <w:abstractNumId w:val="65"/>
  </w:num>
  <w:num w:numId="105">
    <w:abstractNumId w:val="137"/>
  </w:num>
  <w:num w:numId="106">
    <w:abstractNumId w:val="83"/>
  </w:num>
  <w:num w:numId="107">
    <w:abstractNumId w:val="39"/>
  </w:num>
  <w:num w:numId="108">
    <w:abstractNumId w:val="41"/>
  </w:num>
  <w:num w:numId="109">
    <w:abstractNumId w:val="108"/>
  </w:num>
  <w:num w:numId="110">
    <w:abstractNumId w:val="155"/>
  </w:num>
  <w:num w:numId="111">
    <w:abstractNumId w:val="57"/>
  </w:num>
  <w:num w:numId="112">
    <w:abstractNumId w:val="26"/>
  </w:num>
  <w:num w:numId="113">
    <w:abstractNumId w:val="122"/>
  </w:num>
  <w:num w:numId="114">
    <w:abstractNumId w:val="94"/>
  </w:num>
  <w:num w:numId="115">
    <w:abstractNumId w:val="101"/>
  </w:num>
  <w:num w:numId="116">
    <w:abstractNumId w:val="109"/>
  </w:num>
  <w:num w:numId="117">
    <w:abstractNumId w:val="111"/>
  </w:num>
  <w:num w:numId="118">
    <w:abstractNumId w:val="96"/>
  </w:num>
  <w:num w:numId="119">
    <w:abstractNumId w:val="90"/>
  </w:num>
  <w:num w:numId="120">
    <w:abstractNumId w:val="86"/>
  </w:num>
  <w:num w:numId="121">
    <w:abstractNumId w:val="156"/>
  </w:num>
  <w:num w:numId="122">
    <w:abstractNumId w:val="9"/>
  </w:num>
  <w:num w:numId="123">
    <w:abstractNumId w:val="132"/>
  </w:num>
  <w:num w:numId="124">
    <w:abstractNumId w:val="61"/>
  </w:num>
  <w:num w:numId="125">
    <w:abstractNumId w:val="27"/>
  </w:num>
  <w:num w:numId="126">
    <w:abstractNumId w:val="62"/>
  </w:num>
  <w:num w:numId="127">
    <w:abstractNumId w:val="88"/>
  </w:num>
  <w:num w:numId="128">
    <w:abstractNumId w:val="56"/>
  </w:num>
  <w:num w:numId="129">
    <w:abstractNumId w:val="43"/>
  </w:num>
  <w:num w:numId="130">
    <w:abstractNumId w:val="114"/>
  </w:num>
  <w:num w:numId="131">
    <w:abstractNumId w:val="110"/>
  </w:num>
  <w:num w:numId="132">
    <w:abstractNumId w:val="66"/>
  </w:num>
  <w:num w:numId="133">
    <w:abstractNumId w:val="52"/>
  </w:num>
  <w:num w:numId="134">
    <w:abstractNumId w:val="38"/>
  </w:num>
  <w:num w:numId="135">
    <w:abstractNumId w:val="28"/>
  </w:num>
  <w:num w:numId="136">
    <w:abstractNumId w:val="123"/>
  </w:num>
  <w:num w:numId="137">
    <w:abstractNumId w:val="78"/>
  </w:num>
  <w:num w:numId="138">
    <w:abstractNumId w:val="157"/>
  </w:num>
  <w:num w:numId="139">
    <w:abstractNumId w:val="141"/>
  </w:num>
  <w:num w:numId="140">
    <w:abstractNumId w:val="75"/>
  </w:num>
  <w:num w:numId="141">
    <w:abstractNumId w:val="125"/>
  </w:num>
  <w:num w:numId="142">
    <w:abstractNumId w:val="15"/>
  </w:num>
  <w:num w:numId="143">
    <w:abstractNumId w:val="121"/>
  </w:num>
  <w:num w:numId="144">
    <w:abstractNumId w:val="103"/>
  </w:num>
  <w:num w:numId="145">
    <w:abstractNumId w:val="100"/>
  </w:num>
  <w:num w:numId="146">
    <w:abstractNumId w:val="158"/>
  </w:num>
  <w:num w:numId="147">
    <w:abstractNumId w:val="136"/>
  </w:num>
  <w:num w:numId="148">
    <w:abstractNumId w:val="84"/>
  </w:num>
  <w:num w:numId="149">
    <w:abstractNumId w:val="50"/>
  </w:num>
  <w:num w:numId="150">
    <w:abstractNumId w:val="140"/>
  </w:num>
  <w:num w:numId="151">
    <w:abstractNumId w:val="165"/>
  </w:num>
  <w:num w:numId="152">
    <w:abstractNumId w:val="144"/>
  </w:num>
  <w:num w:numId="153">
    <w:abstractNumId w:val="17"/>
  </w:num>
  <w:num w:numId="154">
    <w:abstractNumId w:val="164"/>
  </w:num>
  <w:num w:numId="155">
    <w:abstractNumId w:val="168"/>
  </w:num>
  <w:num w:numId="156">
    <w:abstractNumId w:val="89"/>
  </w:num>
  <w:num w:numId="157">
    <w:abstractNumId w:val="102"/>
  </w:num>
  <w:num w:numId="158">
    <w:abstractNumId w:val="143"/>
  </w:num>
  <w:num w:numId="159">
    <w:abstractNumId w:val="148"/>
  </w:num>
  <w:num w:numId="160">
    <w:abstractNumId w:val="104"/>
  </w:num>
  <w:num w:numId="161">
    <w:abstractNumId w:val="106"/>
  </w:num>
  <w:num w:numId="162">
    <w:abstractNumId w:val="68"/>
  </w:num>
  <w:num w:numId="163">
    <w:abstractNumId w:val="25"/>
  </w:num>
  <w:num w:numId="164">
    <w:abstractNumId w:val="145"/>
  </w:num>
  <w:num w:numId="165">
    <w:abstractNumId w:val="47"/>
  </w:num>
  <w:num w:numId="166">
    <w:abstractNumId w:val="97"/>
  </w:num>
  <w:num w:numId="167">
    <w:abstractNumId w:val="13"/>
  </w:num>
  <w:num w:numId="168">
    <w:abstractNumId w:val="131"/>
  </w:num>
  <w:num w:numId="169">
    <w:abstractNumId w:val="49"/>
  </w:num>
  <w:num w:numId="170">
    <w:abstractNumId w:val="33"/>
  </w:num>
  <w:num w:numId="171">
    <w:abstractNumId w:val="93"/>
  </w:num>
  <w:num w:numId="172">
    <w:abstractNumId w:val="99"/>
  </w:num>
  <w:num w:numId="173">
    <w:abstractNumId w:val="118"/>
  </w:num>
  <w:num w:numId="174">
    <w:abstractNumId w:val="51"/>
  </w:num>
  <w:num w:numId="17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3"/>
  </w:num>
  <w:num w:numId="177">
    <w:abstractNumId w:val="17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05/2018 13:46"/>
  </w:docVars>
  <w:rsids>
    <w:rsidRoot w:val="00526EE2"/>
    <w:rsid w:val="000008F4"/>
    <w:rsid w:val="00000FF6"/>
    <w:rsid w:val="000010B5"/>
    <w:rsid w:val="0000141B"/>
    <w:rsid w:val="00001ABA"/>
    <w:rsid w:val="000038A5"/>
    <w:rsid w:val="00004BC9"/>
    <w:rsid w:val="000063A5"/>
    <w:rsid w:val="00006FD9"/>
    <w:rsid w:val="00007076"/>
    <w:rsid w:val="000112E9"/>
    <w:rsid w:val="000115A8"/>
    <w:rsid w:val="00012518"/>
    <w:rsid w:val="00013073"/>
    <w:rsid w:val="000153C8"/>
    <w:rsid w:val="00017A92"/>
    <w:rsid w:val="0002039D"/>
    <w:rsid w:val="00020F92"/>
    <w:rsid w:val="000237FC"/>
    <w:rsid w:val="00024DD4"/>
    <w:rsid w:val="00024ECF"/>
    <w:rsid w:val="00026452"/>
    <w:rsid w:val="00026D3E"/>
    <w:rsid w:val="000307A3"/>
    <w:rsid w:val="00033CFC"/>
    <w:rsid w:val="000353AE"/>
    <w:rsid w:val="000408F7"/>
    <w:rsid w:val="00042183"/>
    <w:rsid w:val="00043258"/>
    <w:rsid w:val="0004377F"/>
    <w:rsid w:val="00043EF4"/>
    <w:rsid w:val="00044380"/>
    <w:rsid w:val="000445C5"/>
    <w:rsid w:val="00045172"/>
    <w:rsid w:val="000454DC"/>
    <w:rsid w:val="0004757A"/>
    <w:rsid w:val="00047583"/>
    <w:rsid w:val="00050EFB"/>
    <w:rsid w:val="00056858"/>
    <w:rsid w:val="00056861"/>
    <w:rsid w:val="00057745"/>
    <w:rsid w:val="00057C6B"/>
    <w:rsid w:val="0006114A"/>
    <w:rsid w:val="0006373A"/>
    <w:rsid w:val="00063A62"/>
    <w:rsid w:val="000648BE"/>
    <w:rsid w:val="00070762"/>
    <w:rsid w:val="00070E53"/>
    <w:rsid w:val="00071D0A"/>
    <w:rsid w:val="00072841"/>
    <w:rsid w:val="000741D7"/>
    <w:rsid w:val="00074EF4"/>
    <w:rsid w:val="0007736B"/>
    <w:rsid w:val="00077DD9"/>
    <w:rsid w:val="000808DA"/>
    <w:rsid w:val="00081074"/>
    <w:rsid w:val="000830CB"/>
    <w:rsid w:val="00083F6C"/>
    <w:rsid w:val="00084B17"/>
    <w:rsid w:val="0008561D"/>
    <w:rsid w:val="00090E7F"/>
    <w:rsid w:val="0009319A"/>
    <w:rsid w:val="000933A5"/>
    <w:rsid w:val="0009372D"/>
    <w:rsid w:val="000940C6"/>
    <w:rsid w:val="00095151"/>
    <w:rsid w:val="000A0EEB"/>
    <w:rsid w:val="000A16B9"/>
    <w:rsid w:val="000A3323"/>
    <w:rsid w:val="000A3C7F"/>
    <w:rsid w:val="000A462C"/>
    <w:rsid w:val="000A4ED8"/>
    <w:rsid w:val="000A55D4"/>
    <w:rsid w:val="000A566F"/>
    <w:rsid w:val="000A65B6"/>
    <w:rsid w:val="000A75D7"/>
    <w:rsid w:val="000A78FF"/>
    <w:rsid w:val="000A7AB7"/>
    <w:rsid w:val="000B08DD"/>
    <w:rsid w:val="000B22F1"/>
    <w:rsid w:val="000B3A3B"/>
    <w:rsid w:val="000B55EA"/>
    <w:rsid w:val="000B74B6"/>
    <w:rsid w:val="000C1D45"/>
    <w:rsid w:val="000C2294"/>
    <w:rsid w:val="000C38F2"/>
    <w:rsid w:val="000C3AEE"/>
    <w:rsid w:val="000C4436"/>
    <w:rsid w:val="000C52E1"/>
    <w:rsid w:val="000C5533"/>
    <w:rsid w:val="000C7108"/>
    <w:rsid w:val="000C78C0"/>
    <w:rsid w:val="000D0B77"/>
    <w:rsid w:val="000D1AA2"/>
    <w:rsid w:val="000D4B83"/>
    <w:rsid w:val="000D51A7"/>
    <w:rsid w:val="000D5EBC"/>
    <w:rsid w:val="000D6F19"/>
    <w:rsid w:val="000D6F28"/>
    <w:rsid w:val="000D7D4F"/>
    <w:rsid w:val="000E035E"/>
    <w:rsid w:val="000E1341"/>
    <w:rsid w:val="000E15CC"/>
    <w:rsid w:val="000E3A65"/>
    <w:rsid w:val="000E3C24"/>
    <w:rsid w:val="000E3FBF"/>
    <w:rsid w:val="000E45E8"/>
    <w:rsid w:val="000E5D3D"/>
    <w:rsid w:val="000E603F"/>
    <w:rsid w:val="000E7769"/>
    <w:rsid w:val="000E7E3D"/>
    <w:rsid w:val="000F0C4F"/>
    <w:rsid w:val="000F1237"/>
    <w:rsid w:val="000F2FC9"/>
    <w:rsid w:val="000F4223"/>
    <w:rsid w:val="000F46B4"/>
    <w:rsid w:val="000F6412"/>
    <w:rsid w:val="000F6B16"/>
    <w:rsid w:val="0010022D"/>
    <w:rsid w:val="00101476"/>
    <w:rsid w:val="00104B8B"/>
    <w:rsid w:val="001053F7"/>
    <w:rsid w:val="00105E91"/>
    <w:rsid w:val="00106A79"/>
    <w:rsid w:val="001072CE"/>
    <w:rsid w:val="00107601"/>
    <w:rsid w:val="001111A8"/>
    <w:rsid w:val="00111319"/>
    <w:rsid w:val="001128C9"/>
    <w:rsid w:val="00112F21"/>
    <w:rsid w:val="00113B2D"/>
    <w:rsid w:val="001159F6"/>
    <w:rsid w:val="00116D97"/>
    <w:rsid w:val="001208AC"/>
    <w:rsid w:val="00120AB1"/>
    <w:rsid w:val="001215B6"/>
    <w:rsid w:val="001218AC"/>
    <w:rsid w:val="0012323C"/>
    <w:rsid w:val="00123F5C"/>
    <w:rsid w:val="00125502"/>
    <w:rsid w:val="00126E0C"/>
    <w:rsid w:val="00126F8B"/>
    <w:rsid w:val="001306E8"/>
    <w:rsid w:val="001324E8"/>
    <w:rsid w:val="00132996"/>
    <w:rsid w:val="00133540"/>
    <w:rsid w:val="001335F4"/>
    <w:rsid w:val="00133859"/>
    <w:rsid w:val="001340CC"/>
    <w:rsid w:val="00134324"/>
    <w:rsid w:val="00135E2A"/>
    <w:rsid w:val="00136B6A"/>
    <w:rsid w:val="00136FFC"/>
    <w:rsid w:val="001378D4"/>
    <w:rsid w:val="00140C99"/>
    <w:rsid w:val="00142267"/>
    <w:rsid w:val="0014226E"/>
    <w:rsid w:val="0014345B"/>
    <w:rsid w:val="00145C62"/>
    <w:rsid w:val="0014770C"/>
    <w:rsid w:val="00151518"/>
    <w:rsid w:val="00151AAB"/>
    <w:rsid w:val="001535C6"/>
    <w:rsid w:val="001538E9"/>
    <w:rsid w:val="001544A7"/>
    <w:rsid w:val="00155D84"/>
    <w:rsid w:val="00155E0A"/>
    <w:rsid w:val="00157D29"/>
    <w:rsid w:val="00162315"/>
    <w:rsid w:val="00162804"/>
    <w:rsid w:val="00162B63"/>
    <w:rsid w:val="00164199"/>
    <w:rsid w:val="0016437B"/>
    <w:rsid w:val="001645AA"/>
    <w:rsid w:val="0016633C"/>
    <w:rsid w:val="0017012B"/>
    <w:rsid w:val="00170DF3"/>
    <w:rsid w:val="00173E03"/>
    <w:rsid w:val="00174457"/>
    <w:rsid w:val="0017640E"/>
    <w:rsid w:val="001778C8"/>
    <w:rsid w:val="00177A93"/>
    <w:rsid w:val="00181374"/>
    <w:rsid w:val="00182154"/>
    <w:rsid w:val="001822D7"/>
    <w:rsid w:val="00183637"/>
    <w:rsid w:val="0018797C"/>
    <w:rsid w:val="00190254"/>
    <w:rsid w:val="00190271"/>
    <w:rsid w:val="001916C3"/>
    <w:rsid w:val="0019235D"/>
    <w:rsid w:val="001938C1"/>
    <w:rsid w:val="00194B89"/>
    <w:rsid w:val="001958B8"/>
    <w:rsid w:val="001964C4"/>
    <w:rsid w:val="001A0F4B"/>
    <w:rsid w:val="001A28B6"/>
    <w:rsid w:val="001A34CA"/>
    <w:rsid w:val="001A42D0"/>
    <w:rsid w:val="001A43FA"/>
    <w:rsid w:val="001A4A5E"/>
    <w:rsid w:val="001A5077"/>
    <w:rsid w:val="001A5993"/>
    <w:rsid w:val="001A5BE9"/>
    <w:rsid w:val="001A6C9E"/>
    <w:rsid w:val="001B0B8B"/>
    <w:rsid w:val="001B36FA"/>
    <w:rsid w:val="001B4C3D"/>
    <w:rsid w:val="001B5A84"/>
    <w:rsid w:val="001C0F13"/>
    <w:rsid w:val="001C1D1B"/>
    <w:rsid w:val="001C1E20"/>
    <w:rsid w:val="001C28BA"/>
    <w:rsid w:val="001C3BC1"/>
    <w:rsid w:val="001C6370"/>
    <w:rsid w:val="001C7923"/>
    <w:rsid w:val="001D2058"/>
    <w:rsid w:val="001D29C9"/>
    <w:rsid w:val="001D29DA"/>
    <w:rsid w:val="001D316B"/>
    <w:rsid w:val="001D5FA0"/>
    <w:rsid w:val="001D70ED"/>
    <w:rsid w:val="001D79C4"/>
    <w:rsid w:val="001E01E7"/>
    <w:rsid w:val="001E0D1B"/>
    <w:rsid w:val="001E20C5"/>
    <w:rsid w:val="001E4FF5"/>
    <w:rsid w:val="001E501D"/>
    <w:rsid w:val="001E591D"/>
    <w:rsid w:val="001E5EA0"/>
    <w:rsid w:val="001E679E"/>
    <w:rsid w:val="001E681E"/>
    <w:rsid w:val="001E7ED9"/>
    <w:rsid w:val="001F0962"/>
    <w:rsid w:val="001F140A"/>
    <w:rsid w:val="001F16DB"/>
    <w:rsid w:val="001F2AE4"/>
    <w:rsid w:val="001F4049"/>
    <w:rsid w:val="001F5AA2"/>
    <w:rsid w:val="001F5C99"/>
    <w:rsid w:val="001F7015"/>
    <w:rsid w:val="00200FA9"/>
    <w:rsid w:val="002010C3"/>
    <w:rsid w:val="00201204"/>
    <w:rsid w:val="0020299F"/>
    <w:rsid w:val="0020529D"/>
    <w:rsid w:val="002057F8"/>
    <w:rsid w:val="00206710"/>
    <w:rsid w:val="00210C83"/>
    <w:rsid w:val="00213C55"/>
    <w:rsid w:val="00213C8B"/>
    <w:rsid w:val="00214271"/>
    <w:rsid w:val="002148A3"/>
    <w:rsid w:val="00217DD3"/>
    <w:rsid w:val="002204CD"/>
    <w:rsid w:val="00220B2B"/>
    <w:rsid w:val="00220F97"/>
    <w:rsid w:val="00221182"/>
    <w:rsid w:val="002217A3"/>
    <w:rsid w:val="00222B56"/>
    <w:rsid w:val="00222D60"/>
    <w:rsid w:val="00223D8A"/>
    <w:rsid w:val="00223EBF"/>
    <w:rsid w:val="00224420"/>
    <w:rsid w:val="00225A62"/>
    <w:rsid w:val="002266F5"/>
    <w:rsid w:val="00227BB2"/>
    <w:rsid w:val="00231797"/>
    <w:rsid w:val="002318E3"/>
    <w:rsid w:val="00234E51"/>
    <w:rsid w:val="00235A7E"/>
    <w:rsid w:val="00240F7C"/>
    <w:rsid w:val="00241198"/>
    <w:rsid w:val="002413B4"/>
    <w:rsid w:val="00241F36"/>
    <w:rsid w:val="0024287F"/>
    <w:rsid w:val="0024655E"/>
    <w:rsid w:val="002502CA"/>
    <w:rsid w:val="00250D22"/>
    <w:rsid w:val="00251CCC"/>
    <w:rsid w:val="00252320"/>
    <w:rsid w:val="002536F1"/>
    <w:rsid w:val="0025407C"/>
    <w:rsid w:val="00254797"/>
    <w:rsid w:val="00254A01"/>
    <w:rsid w:val="00255827"/>
    <w:rsid w:val="00256AFB"/>
    <w:rsid w:val="00261BD7"/>
    <w:rsid w:val="00261E4D"/>
    <w:rsid w:val="002637EC"/>
    <w:rsid w:val="002639B2"/>
    <w:rsid w:val="00263E3B"/>
    <w:rsid w:val="0026578D"/>
    <w:rsid w:val="00265F34"/>
    <w:rsid w:val="00270E9F"/>
    <w:rsid w:val="00271D91"/>
    <w:rsid w:val="00271FF4"/>
    <w:rsid w:val="00272B3E"/>
    <w:rsid w:val="00273D3A"/>
    <w:rsid w:val="00273D7B"/>
    <w:rsid w:val="00274C91"/>
    <w:rsid w:val="00276194"/>
    <w:rsid w:val="00276D51"/>
    <w:rsid w:val="00280E06"/>
    <w:rsid w:val="00281BE6"/>
    <w:rsid w:val="00281C8C"/>
    <w:rsid w:val="00281EA0"/>
    <w:rsid w:val="00282957"/>
    <w:rsid w:val="00282F92"/>
    <w:rsid w:val="00286BB6"/>
    <w:rsid w:val="002879B1"/>
    <w:rsid w:val="00290514"/>
    <w:rsid w:val="00290517"/>
    <w:rsid w:val="002927D2"/>
    <w:rsid w:val="00293285"/>
    <w:rsid w:val="00294252"/>
    <w:rsid w:val="0029460D"/>
    <w:rsid w:val="002A0619"/>
    <w:rsid w:val="002A0969"/>
    <w:rsid w:val="002A341E"/>
    <w:rsid w:val="002A3DC5"/>
    <w:rsid w:val="002A4136"/>
    <w:rsid w:val="002A41DD"/>
    <w:rsid w:val="002A42A3"/>
    <w:rsid w:val="002A478D"/>
    <w:rsid w:val="002A4AFF"/>
    <w:rsid w:val="002A50EE"/>
    <w:rsid w:val="002A5817"/>
    <w:rsid w:val="002A5CCD"/>
    <w:rsid w:val="002A5ECB"/>
    <w:rsid w:val="002B0403"/>
    <w:rsid w:val="002B07F1"/>
    <w:rsid w:val="002B264B"/>
    <w:rsid w:val="002B27F2"/>
    <w:rsid w:val="002B2BAE"/>
    <w:rsid w:val="002B6778"/>
    <w:rsid w:val="002B6E9E"/>
    <w:rsid w:val="002B7804"/>
    <w:rsid w:val="002C1506"/>
    <w:rsid w:val="002C1C65"/>
    <w:rsid w:val="002C3341"/>
    <w:rsid w:val="002C33D9"/>
    <w:rsid w:val="002D0F71"/>
    <w:rsid w:val="002D1742"/>
    <w:rsid w:val="002D1D95"/>
    <w:rsid w:val="002D1EE4"/>
    <w:rsid w:val="002D227C"/>
    <w:rsid w:val="002D48CE"/>
    <w:rsid w:val="002D5E06"/>
    <w:rsid w:val="002D713C"/>
    <w:rsid w:val="002E06B3"/>
    <w:rsid w:val="002E0C00"/>
    <w:rsid w:val="002E29F9"/>
    <w:rsid w:val="002E306F"/>
    <w:rsid w:val="002E3530"/>
    <w:rsid w:val="002E3A0E"/>
    <w:rsid w:val="002E5342"/>
    <w:rsid w:val="002E558D"/>
    <w:rsid w:val="002E5885"/>
    <w:rsid w:val="002E5F2B"/>
    <w:rsid w:val="002E65C0"/>
    <w:rsid w:val="002E6DBC"/>
    <w:rsid w:val="002E6EBA"/>
    <w:rsid w:val="002E7588"/>
    <w:rsid w:val="002F0250"/>
    <w:rsid w:val="002F0563"/>
    <w:rsid w:val="002F1506"/>
    <w:rsid w:val="002F1743"/>
    <w:rsid w:val="002F1E24"/>
    <w:rsid w:val="002F2ECB"/>
    <w:rsid w:val="002F3277"/>
    <w:rsid w:val="002F3901"/>
    <w:rsid w:val="002F5097"/>
    <w:rsid w:val="002F651B"/>
    <w:rsid w:val="002F66C1"/>
    <w:rsid w:val="002F6A2F"/>
    <w:rsid w:val="002F6C60"/>
    <w:rsid w:val="002F6F78"/>
    <w:rsid w:val="0030092E"/>
    <w:rsid w:val="00301B8E"/>
    <w:rsid w:val="00301DE4"/>
    <w:rsid w:val="00303496"/>
    <w:rsid w:val="003035AC"/>
    <w:rsid w:val="00307A53"/>
    <w:rsid w:val="00310314"/>
    <w:rsid w:val="00311B6D"/>
    <w:rsid w:val="00311CCD"/>
    <w:rsid w:val="00313428"/>
    <w:rsid w:val="00313471"/>
    <w:rsid w:val="00313F0D"/>
    <w:rsid w:val="003144B6"/>
    <w:rsid w:val="00314665"/>
    <w:rsid w:val="003176E9"/>
    <w:rsid w:val="0032045E"/>
    <w:rsid w:val="00321BA3"/>
    <w:rsid w:val="003230D9"/>
    <w:rsid w:val="003247CA"/>
    <w:rsid w:val="0032542E"/>
    <w:rsid w:val="00326E02"/>
    <w:rsid w:val="00327537"/>
    <w:rsid w:val="003278D3"/>
    <w:rsid w:val="003278F9"/>
    <w:rsid w:val="00330A34"/>
    <w:rsid w:val="00331DF1"/>
    <w:rsid w:val="003345E1"/>
    <w:rsid w:val="00334626"/>
    <w:rsid w:val="003351A5"/>
    <w:rsid w:val="00340C65"/>
    <w:rsid w:val="0034104A"/>
    <w:rsid w:val="00341494"/>
    <w:rsid w:val="00342FA2"/>
    <w:rsid w:val="0034576C"/>
    <w:rsid w:val="00345BE4"/>
    <w:rsid w:val="00346F22"/>
    <w:rsid w:val="00350680"/>
    <w:rsid w:val="00350856"/>
    <w:rsid w:val="0035171D"/>
    <w:rsid w:val="00351768"/>
    <w:rsid w:val="00352E36"/>
    <w:rsid w:val="003533CE"/>
    <w:rsid w:val="00353E06"/>
    <w:rsid w:val="00354D84"/>
    <w:rsid w:val="00355109"/>
    <w:rsid w:val="0035625F"/>
    <w:rsid w:val="0035708F"/>
    <w:rsid w:val="00357194"/>
    <w:rsid w:val="00357354"/>
    <w:rsid w:val="0036097D"/>
    <w:rsid w:val="003616A2"/>
    <w:rsid w:val="0036387E"/>
    <w:rsid w:val="00363F33"/>
    <w:rsid w:val="003642AC"/>
    <w:rsid w:val="00364CF9"/>
    <w:rsid w:val="0036556C"/>
    <w:rsid w:val="00365628"/>
    <w:rsid w:val="00366BF1"/>
    <w:rsid w:val="00370072"/>
    <w:rsid w:val="00370117"/>
    <w:rsid w:val="003718A4"/>
    <w:rsid w:val="0037294A"/>
    <w:rsid w:val="00372A6B"/>
    <w:rsid w:val="00372DE6"/>
    <w:rsid w:val="00374CD9"/>
    <w:rsid w:val="003752D4"/>
    <w:rsid w:val="00376E10"/>
    <w:rsid w:val="0038078F"/>
    <w:rsid w:val="00380E4E"/>
    <w:rsid w:val="003812C7"/>
    <w:rsid w:val="003820F8"/>
    <w:rsid w:val="003824C4"/>
    <w:rsid w:val="00382E00"/>
    <w:rsid w:val="00383AF0"/>
    <w:rsid w:val="00384216"/>
    <w:rsid w:val="00384225"/>
    <w:rsid w:val="00384B2E"/>
    <w:rsid w:val="003851F6"/>
    <w:rsid w:val="00385B18"/>
    <w:rsid w:val="00385C77"/>
    <w:rsid w:val="0038627D"/>
    <w:rsid w:val="00386B8A"/>
    <w:rsid w:val="003906AD"/>
    <w:rsid w:val="003912E0"/>
    <w:rsid w:val="00392365"/>
    <w:rsid w:val="003924D0"/>
    <w:rsid w:val="00392A23"/>
    <w:rsid w:val="00393DE2"/>
    <w:rsid w:val="00394079"/>
    <w:rsid w:val="00395298"/>
    <w:rsid w:val="00395B38"/>
    <w:rsid w:val="00397DA9"/>
    <w:rsid w:val="003A0128"/>
    <w:rsid w:val="003A178A"/>
    <w:rsid w:val="003A1920"/>
    <w:rsid w:val="003A3CD5"/>
    <w:rsid w:val="003A413A"/>
    <w:rsid w:val="003A4BD3"/>
    <w:rsid w:val="003A4D3C"/>
    <w:rsid w:val="003A5F7D"/>
    <w:rsid w:val="003A6471"/>
    <w:rsid w:val="003A64B1"/>
    <w:rsid w:val="003A64EC"/>
    <w:rsid w:val="003B095F"/>
    <w:rsid w:val="003B0A3C"/>
    <w:rsid w:val="003B0CAB"/>
    <w:rsid w:val="003B10ED"/>
    <w:rsid w:val="003B1AE4"/>
    <w:rsid w:val="003B2464"/>
    <w:rsid w:val="003B3607"/>
    <w:rsid w:val="003B4BF1"/>
    <w:rsid w:val="003B50C7"/>
    <w:rsid w:val="003B6062"/>
    <w:rsid w:val="003B6CBF"/>
    <w:rsid w:val="003C0457"/>
    <w:rsid w:val="003C0A26"/>
    <w:rsid w:val="003C421C"/>
    <w:rsid w:val="003C49D6"/>
    <w:rsid w:val="003C4AA6"/>
    <w:rsid w:val="003C69B6"/>
    <w:rsid w:val="003C6D61"/>
    <w:rsid w:val="003D0695"/>
    <w:rsid w:val="003D06F6"/>
    <w:rsid w:val="003D1C85"/>
    <w:rsid w:val="003D21A4"/>
    <w:rsid w:val="003D2716"/>
    <w:rsid w:val="003D307F"/>
    <w:rsid w:val="003D3EEF"/>
    <w:rsid w:val="003D4D6C"/>
    <w:rsid w:val="003D524D"/>
    <w:rsid w:val="003D5622"/>
    <w:rsid w:val="003D5FFB"/>
    <w:rsid w:val="003D76D5"/>
    <w:rsid w:val="003D7EA8"/>
    <w:rsid w:val="003E02E1"/>
    <w:rsid w:val="003E291C"/>
    <w:rsid w:val="003E2F59"/>
    <w:rsid w:val="003E2F7C"/>
    <w:rsid w:val="003E3685"/>
    <w:rsid w:val="003E4105"/>
    <w:rsid w:val="003E4EAD"/>
    <w:rsid w:val="003E505F"/>
    <w:rsid w:val="003E5104"/>
    <w:rsid w:val="003E52F0"/>
    <w:rsid w:val="003E64D3"/>
    <w:rsid w:val="003E69E2"/>
    <w:rsid w:val="003E748C"/>
    <w:rsid w:val="003F03FF"/>
    <w:rsid w:val="003F0534"/>
    <w:rsid w:val="003F060A"/>
    <w:rsid w:val="003F2896"/>
    <w:rsid w:val="003F30EF"/>
    <w:rsid w:val="003F329A"/>
    <w:rsid w:val="003F4CC5"/>
    <w:rsid w:val="003F5C5C"/>
    <w:rsid w:val="003F74D4"/>
    <w:rsid w:val="003F7807"/>
    <w:rsid w:val="003F7DBD"/>
    <w:rsid w:val="004003C3"/>
    <w:rsid w:val="00400883"/>
    <w:rsid w:val="00400E9E"/>
    <w:rsid w:val="00401629"/>
    <w:rsid w:val="004016BD"/>
    <w:rsid w:val="00401C31"/>
    <w:rsid w:val="0040252D"/>
    <w:rsid w:val="004046E9"/>
    <w:rsid w:val="00404DF5"/>
    <w:rsid w:val="00405842"/>
    <w:rsid w:val="0040636C"/>
    <w:rsid w:val="0040645D"/>
    <w:rsid w:val="00406AC9"/>
    <w:rsid w:val="00410AC8"/>
    <w:rsid w:val="00410CB1"/>
    <w:rsid w:val="00411DA0"/>
    <w:rsid w:val="00412D46"/>
    <w:rsid w:val="00413229"/>
    <w:rsid w:val="00413A62"/>
    <w:rsid w:val="00414588"/>
    <w:rsid w:val="00414EF6"/>
    <w:rsid w:val="00415BBF"/>
    <w:rsid w:val="00415F0F"/>
    <w:rsid w:val="004160E4"/>
    <w:rsid w:val="0041699D"/>
    <w:rsid w:val="00420B0E"/>
    <w:rsid w:val="00422244"/>
    <w:rsid w:val="0042269B"/>
    <w:rsid w:val="00424B37"/>
    <w:rsid w:val="00424D93"/>
    <w:rsid w:val="00425259"/>
    <w:rsid w:val="00425A29"/>
    <w:rsid w:val="00425D53"/>
    <w:rsid w:val="00426329"/>
    <w:rsid w:val="0042758F"/>
    <w:rsid w:val="00427DB0"/>
    <w:rsid w:val="004309E9"/>
    <w:rsid w:val="00433311"/>
    <w:rsid w:val="00434369"/>
    <w:rsid w:val="00434873"/>
    <w:rsid w:val="00434DC7"/>
    <w:rsid w:val="00435813"/>
    <w:rsid w:val="00435DE3"/>
    <w:rsid w:val="00436EBA"/>
    <w:rsid w:val="00437005"/>
    <w:rsid w:val="00441C37"/>
    <w:rsid w:val="00442794"/>
    <w:rsid w:val="0044580E"/>
    <w:rsid w:val="00445A62"/>
    <w:rsid w:val="00445AED"/>
    <w:rsid w:val="004548AE"/>
    <w:rsid w:val="00454B6E"/>
    <w:rsid w:val="00456AA0"/>
    <w:rsid w:val="00457774"/>
    <w:rsid w:val="00457C0D"/>
    <w:rsid w:val="0046035C"/>
    <w:rsid w:val="00461B55"/>
    <w:rsid w:val="0046210A"/>
    <w:rsid w:val="004624C1"/>
    <w:rsid w:val="00463577"/>
    <w:rsid w:val="00463EA0"/>
    <w:rsid w:val="00464C08"/>
    <w:rsid w:val="00464EC7"/>
    <w:rsid w:val="00465D26"/>
    <w:rsid w:val="00466562"/>
    <w:rsid w:val="0046663B"/>
    <w:rsid w:val="00466DF2"/>
    <w:rsid w:val="004672DD"/>
    <w:rsid w:val="0046757C"/>
    <w:rsid w:val="0047099C"/>
    <w:rsid w:val="00470E6E"/>
    <w:rsid w:val="004713BE"/>
    <w:rsid w:val="004719EB"/>
    <w:rsid w:val="004721C0"/>
    <w:rsid w:val="00473768"/>
    <w:rsid w:val="0047536D"/>
    <w:rsid w:val="00480119"/>
    <w:rsid w:val="00480D37"/>
    <w:rsid w:val="0048119F"/>
    <w:rsid w:val="00483233"/>
    <w:rsid w:val="0048324A"/>
    <w:rsid w:val="00484862"/>
    <w:rsid w:val="00484AC4"/>
    <w:rsid w:val="00484DAC"/>
    <w:rsid w:val="004876F5"/>
    <w:rsid w:val="00491DEC"/>
    <w:rsid w:val="0049382D"/>
    <w:rsid w:val="00494530"/>
    <w:rsid w:val="004945BB"/>
    <w:rsid w:val="00494A18"/>
    <w:rsid w:val="00495A70"/>
    <w:rsid w:val="00495CEF"/>
    <w:rsid w:val="00496650"/>
    <w:rsid w:val="00496902"/>
    <w:rsid w:val="0049773A"/>
    <w:rsid w:val="004A099C"/>
    <w:rsid w:val="004A0D2A"/>
    <w:rsid w:val="004A2C71"/>
    <w:rsid w:val="004A3883"/>
    <w:rsid w:val="004A3D22"/>
    <w:rsid w:val="004A4912"/>
    <w:rsid w:val="004A4A51"/>
    <w:rsid w:val="004A5CB0"/>
    <w:rsid w:val="004A6B64"/>
    <w:rsid w:val="004A6C1F"/>
    <w:rsid w:val="004A7A4D"/>
    <w:rsid w:val="004B029B"/>
    <w:rsid w:val="004B04B9"/>
    <w:rsid w:val="004B0EB2"/>
    <w:rsid w:val="004B22C5"/>
    <w:rsid w:val="004B2497"/>
    <w:rsid w:val="004B38FC"/>
    <w:rsid w:val="004B5551"/>
    <w:rsid w:val="004B5C5B"/>
    <w:rsid w:val="004B5E4F"/>
    <w:rsid w:val="004B7215"/>
    <w:rsid w:val="004B7D8A"/>
    <w:rsid w:val="004C09AD"/>
    <w:rsid w:val="004C2A75"/>
    <w:rsid w:val="004C35F9"/>
    <w:rsid w:val="004C3A67"/>
    <w:rsid w:val="004C3FC6"/>
    <w:rsid w:val="004C4740"/>
    <w:rsid w:val="004C4C89"/>
    <w:rsid w:val="004C510E"/>
    <w:rsid w:val="004C5F4C"/>
    <w:rsid w:val="004D1010"/>
    <w:rsid w:val="004D1205"/>
    <w:rsid w:val="004D1AFF"/>
    <w:rsid w:val="004D1B4F"/>
    <w:rsid w:val="004D358B"/>
    <w:rsid w:val="004D3EA8"/>
    <w:rsid w:val="004D4B74"/>
    <w:rsid w:val="004D50E5"/>
    <w:rsid w:val="004D630D"/>
    <w:rsid w:val="004D7367"/>
    <w:rsid w:val="004E0E35"/>
    <w:rsid w:val="004E17F6"/>
    <w:rsid w:val="004E3896"/>
    <w:rsid w:val="004E449B"/>
    <w:rsid w:val="004E474A"/>
    <w:rsid w:val="004E50D3"/>
    <w:rsid w:val="004E68E7"/>
    <w:rsid w:val="004E7384"/>
    <w:rsid w:val="004E78FC"/>
    <w:rsid w:val="004E7E05"/>
    <w:rsid w:val="004F03B1"/>
    <w:rsid w:val="004F1D70"/>
    <w:rsid w:val="004F1EEF"/>
    <w:rsid w:val="004F2366"/>
    <w:rsid w:val="004F2BA9"/>
    <w:rsid w:val="004F37A4"/>
    <w:rsid w:val="004F3A83"/>
    <w:rsid w:val="004F49C3"/>
    <w:rsid w:val="004F602A"/>
    <w:rsid w:val="004F6284"/>
    <w:rsid w:val="004F6CB6"/>
    <w:rsid w:val="004F6F88"/>
    <w:rsid w:val="004F7C02"/>
    <w:rsid w:val="004F7C92"/>
    <w:rsid w:val="00500E6E"/>
    <w:rsid w:val="00501204"/>
    <w:rsid w:val="005012FD"/>
    <w:rsid w:val="00501CE4"/>
    <w:rsid w:val="00503B8E"/>
    <w:rsid w:val="005057AF"/>
    <w:rsid w:val="00507B01"/>
    <w:rsid w:val="00510342"/>
    <w:rsid w:val="005103EA"/>
    <w:rsid w:val="0051048F"/>
    <w:rsid w:val="005104A9"/>
    <w:rsid w:val="00511C28"/>
    <w:rsid w:val="00512055"/>
    <w:rsid w:val="00512152"/>
    <w:rsid w:val="00512925"/>
    <w:rsid w:val="005131D9"/>
    <w:rsid w:val="00513A19"/>
    <w:rsid w:val="005141F8"/>
    <w:rsid w:val="005164C8"/>
    <w:rsid w:val="00520EF1"/>
    <w:rsid w:val="00521AF8"/>
    <w:rsid w:val="00521DDE"/>
    <w:rsid w:val="005243B9"/>
    <w:rsid w:val="00525BD0"/>
    <w:rsid w:val="00526EE2"/>
    <w:rsid w:val="005277E9"/>
    <w:rsid w:val="00527CCA"/>
    <w:rsid w:val="00527EF4"/>
    <w:rsid w:val="0053114A"/>
    <w:rsid w:val="005314CD"/>
    <w:rsid w:val="00531831"/>
    <w:rsid w:val="00532FD5"/>
    <w:rsid w:val="00533B68"/>
    <w:rsid w:val="00533BB6"/>
    <w:rsid w:val="005348DE"/>
    <w:rsid w:val="005372F9"/>
    <w:rsid w:val="00537D92"/>
    <w:rsid w:val="005427E6"/>
    <w:rsid w:val="0054282A"/>
    <w:rsid w:val="0054741A"/>
    <w:rsid w:val="00547D1F"/>
    <w:rsid w:val="00547EB5"/>
    <w:rsid w:val="00550732"/>
    <w:rsid w:val="00550E38"/>
    <w:rsid w:val="0055149E"/>
    <w:rsid w:val="005527E5"/>
    <w:rsid w:val="00554CAB"/>
    <w:rsid w:val="00555C9A"/>
    <w:rsid w:val="00556042"/>
    <w:rsid w:val="0055657D"/>
    <w:rsid w:val="00556B17"/>
    <w:rsid w:val="0055728B"/>
    <w:rsid w:val="00557DC8"/>
    <w:rsid w:val="00561456"/>
    <w:rsid w:val="00562643"/>
    <w:rsid w:val="005637CD"/>
    <w:rsid w:val="00564AC5"/>
    <w:rsid w:val="005661F9"/>
    <w:rsid w:val="00567503"/>
    <w:rsid w:val="00570686"/>
    <w:rsid w:val="00570E86"/>
    <w:rsid w:val="0057101C"/>
    <w:rsid w:val="0057184D"/>
    <w:rsid w:val="00572857"/>
    <w:rsid w:val="005733C3"/>
    <w:rsid w:val="005737E7"/>
    <w:rsid w:val="00573C3E"/>
    <w:rsid w:val="00574196"/>
    <w:rsid w:val="0057446C"/>
    <w:rsid w:val="00574DAA"/>
    <w:rsid w:val="0057599D"/>
    <w:rsid w:val="00575BC4"/>
    <w:rsid w:val="00575DAB"/>
    <w:rsid w:val="005761F6"/>
    <w:rsid w:val="00577124"/>
    <w:rsid w:val="00580DCE"/>
    <w:rsid w:val="00581225"/>
    <w:rsid w:val="005818E9"/>
    <w:rsid w:val="005819EB"/>
    <w:rsid w:val="005829DC"/>
    <w:rsid w:val="005832F1"/>
    <w:rsid w:val="005846D7"/>
    <w:rsid w:val="00584CAD"/>
    <w:rsid w:val="00585568"/>
    <w:rsid w:val="00586A10"/>
    <w:rsid w:val="00590DB7"/>
    <w:rsid w:val="00590F80"/>
    <w:rsid w:val="00591139"/>
    <w:rsid w:val="0059129E"/>
    <w:rsid w:val="0059191B"/>
    <w:rsid w:val="00591C57"/>
    <w:rsid w:val="00591F00"/>
    <w:rsid w:val="00591F96"/>
    <w:rsid w:val="00592C5A"/>
    <w:rsid w:val="00592E64"/>
    <w:rsid w:val="005943C9"/>
    <w:rsid w:val="00594B14"/>
    <w:rsid w:val="00596E6C"/>
    <w:rsid w:val="00597208"/>
    <w:rsid w:val="00597DB8"/>
    <w:rsid w:val="00597F30"/>
    <w:rsid w:val="005A118E"/>
    <w:rsid w:val="005A11CB"/>
    <w:rsid w:val="005A206F"/>
    <w:rsid w:val="005A4DF8"/>
    <w:rsid w:val="005B1952"/>
    <w:rsid w:val="005B2123"/>
    <w:rsid w:val="005B4944"/>
    <w:rsid w:val="005B5586"/>
    <w:rsid w:val="005B67AA"/>
    <w:rsid w:val="005C0FFF"/>
    <w:rsid w:val="005C14AD"/>
    <w:rsid w:val="005C27C6"/>
    <w:rsid w:val="005C2960"/>
    <w:rsid w:val="005C310F"/>
    <w:rsid w:val="005C4245"/>
    <w:rsid w:val="005C4C1A"/>
    <w:rsid w:val="005C5316"/>
    <w:rsid w:val="005C574E"/>
    <w:rsid w:val="005C71CC"/>
    <w:rsid w:val="005C7B77"/>
    <w:rsid w:val="005C7E13"/>
    <w:rsid w:val="005D0482"/>
    <w:rsid w:val="005D3232"/>
    <w:rsid w:val="005D396D"/>
    <w:rsid w:val="005D44B6"/>
    <w:rsid w:val="005D4AE9"/>
    <w:rsid w:val="005D4BAF"/>
    <w:rsid w:val="005D4D09"/>
    <w:rsid w:val="005D561E"/>
    <w:rsid w:val="005D5933"/>
    <w:rsid w:val="005D6BCE"/>
    <w:rsid w:val="005D75A6"/>
    <w:rsid w:val="005E0F0F"/>
    <w:rsid w:val="005E0F32"/>
    <w:rsid w:val="005E14A3"/>
    <w:rsid w:val="005E1644"/>
    <w:rsid w:val="005E1743"/>
    <w:rsid w:val="005E2179"/>
    <w:rsid w:val="005E2B35"/>
    <w:rsid w:val="005E38C6"/>
    <w:rsid w:val="005E473F"/>
    <w:rsid w:val="005E4FD3"/>
    <w:rsid w:val="005E6541"/>
    <w:rsid w:val="005E65C9"/>
    <w:rsid w:val="005E6B9B"/>
    <w:rsid w:val="005E6D1B"/>
    <w:rsid w:val="005F0332"/>
    <w:rsid w:val="005F0507"/>
    <w:rsid w:val="005F064C"/>
    <w:rsid w:val="005F0C42"/>
    <w:rsid w:val="005F331F"/>
    <w:rsid w:val="005F3444"/>
    <w:rsid w:val="005F62C7"/>
    <w:rsid w:val="005F793C"/>
    <w:rsid w:val="005F7C93"/>
    <w:rsid w:val="00601DA5"/>
    <w:rsid w:val="00601ED2"/>
    <w:rsid w:val="00602157"/>
    <w:rsid w:val="0060492C"/>
    <w:rsid w:val="0060498D"/>
    <w:rsid w:val="0060598C"/>
    <w:rsid w:val="00605B23"/>
    <w:rsid w:val="00605E23"/>
    <w:rsid w:val="00606D37"/>
    <w:rsid w:val="00607AED"/>
    <w:rsid w:val="006105DE"/>
    <w:rsid w:val="00610B33"/>
    <w:rsid w:val="00610EDD"/>
    <w:rsid w:val="00614053"/>
    <w:rsid w:val="006154B4"/>
    <w:rsid w:val="00615932"/>
    <w:rsid w:val="00615F24"/>
    <w:rsid w:val="006168C5"/>
    <w:rsid w:val="00616DBA"/>
    <w:rsid w:val="00617A16"/>
    <w:rsid w:val="00620444"/>
    <w:rsid w:val="00620496"/>
    <w:rsid w:val="0062107B"/>
    <w:rsid w:val="00621467"/>
    <w:rsid w:val="00621E7A"/>
    <w:rsid w:val="0062337F"/>
    <w:rsid w:val="006235CE"/>
    <w:rsid w:val="006236ED"/>
    <w:rsid w:val="0062749B"/>
    <w:rsid w:val="006274C3"/>
    <w:rsid w:val="00627565"/>
    <w:rsid w:val="00627792"/>
    <w:rsid w:val="00627A97"/>
    <w:rsid w:val="00627C0F"/>
    <w:rsid w:val="00630716"/>
    <w:rsid w:val="0063274B"/>
    <w:rsid w:val="00633198"/>
    <w:rsid w:val="006336A4"/>
    <w:rsid w:val="0063402D"/>
    <w:rsid w:val="006343E8"/>
    <w:rsid w:val="00634AB5"/>
    <w:rsid w:val="00635102"/>
    <w:rsid w:val="00635AB1"/>
    <w:rsid w:val="00640F02"/>
    <w:rsid w:val="00640F5C"/>
    <w:rsid w:val="00641CE7"/>
    <w:rsid w:val="00642241"/>
    <w:rsid w:val="00642B4C"/>
    <w:rsid w:val="00643905"/>
    <w:rsid w:val="00643AC5"/>
    <w:rsid w:val="0064484E"/>
    <w:rsid w:val="00645E10"/>
    <w:rsid w:val="0064644B"/>
    <w:rsid w:val="00646C8B"/>
    <w:rsid w:val="00646DA7"/>
    <w:rsid w:val="00646DD6"/>
    <w:rsid w:val="00647BA6"/>
    <w:rsid w:val="0065297C"/>
    <w:rsid w:val="00652D9B"/>
    <w:rsid w:val="00652E84"/>
    <w:rsid w:val="006543F8"/>
    <w:rsid w:val="00655A89"/>
    <w:rsid w:val="00656C30"/>
    <w:rsid w:val="00656DC5"/>
    <w:rsid w:val="006571C0"/>
    <w:rsid w:val="00657B5F"/>
    <w:rsid w:val="00660361"/>
    <w:rsid w:val="006606B2"/>
    <w:rsid w:val="006616B6"/>
    <w:rsid w:val="00663391"/>
    <w:rsid w:val="006635B3"/>
    <w:rsid w:val="006643D9"/>
    <w:rsid w:val="00664F41"/>
    <w:rsid w:val="006653DB"/>
    <w:rsid w:val="00665C67"/>
    <w:rsid w:val="00665C76"/>
    <w:rsid w:val="00673E15"/>
    <w:rsid w:val="006746DE"/>
    <w:rsid w:val="006752E8"/>
    <w:rsid w:val="00676AC8"/>
    <w:rsid w:val="0067708B"/>
    <w:rsid w:val="00677481"/>
    <w:rsid w:val="00680A14"/>
    <w:rsid w:val="0068102B"/>
    <w:rsid w:val="00681F2B"/>
    <w:rsid w:val="00685638"/>
    <w:rsid w:val="006865D8"/>
    <w:rsid w:val="00686DA6"/>
    <w:rsid w:val="00687BBB"/>
    <w:rsid w:val="00693ED1"/>
    <w:rsid w:val="00695060"/>
    <w:rsid w:val="006952B4"/>
    <w:rsid w:val="00696783"/>
    <w:rsid w:val="00696853"/>
    <w:rsid w:val="00696FC4"/>
    <w:rsid w:val="00697F40"/>
    <w:rsid w:val="006A1C57"/>
    <w:rsid w:val="006A1C79"/>
    <w:rsid w:val="006A27E3"/>
    <w:rsid w:val="006A3C8C"/>
    <w:rsid w:val="006A4E63"/>
    <w:rsid w:val="006A5D06"/>
    <w:rsid w:val="006A5F3D"/>
    <w:rsid w:val="006A69AA"/>
    <w:rsid w:val="006A71FD"/>
    <w:rsid w:val="006A7CC1"/>
    <w:rsid w:val="006B0BBB"/>
    <w:rsid w:val="006B113D"/>
    <w:rsid w:val="006B588A"/>
    <w:rsid w:val="006B608B"/>
    <w:rsid w:val="006B60C9"/>
    <w:rsid w:val="006B7F40"/>
    <w:rsid w:val="006C05D8"/>
    <w:rsid w:val="006C10C6"/>
    <w:rsid w:val="006C191D"/>
    <w:rsid w:val="006C29F2"/>
    <w:rsid w:val="006C2DD1"/>
    <w:rsid w:val="006C2EFC"/>
    <w:rsid w:val="006C2F99"/>
    <w:rsid w:val="006C315F"/>
    <w:rsid w:val="006C3E03"/>
    <w:rsid w:val="006C48DC"/>
    <w:rsid w:val="006C5356"/>
    <w:rsid w:val="006C5AB4"/>
    <w:rsid w:val="006C633B"/>
    <w:rsid w:val="006D16C6"/>
    <w:rsid w:val="006D1B56"/>
    <w:rsid w:val="006D1D93"/>
    <w:rsid w:val="006D2871"/>
    <w:rsid w:val="006D2971"/>
    <w:rsid w:val="006D2FE9"/>
    <w:rsid w:val="006D3599"/>
    <w:rsid w:val="006D44EA"/>
    <w:rsid w:val="006D4931"/>
    <w:rsid w:val="006D537F"/>
    <w:rsid w:val="006D59E8"/>
    <w:rsid w:val="006D6A08"/>
    <w:rsid w:val="006D7003"/>
    <w:rsid w:val="006D7DC6"/>
    <w:rsid w:val="006E037A"/>
    <w:rsid w:val="006E03D0"/>
    <w:rsid w:val="006E0515"/>
    <w:rsid w:val="006E0E10"/>
    <w:rsid w:val="006E5436"/>
    <w:rsid w:val="006E5920"/>
    <w:rsid w:val="006E6055"/>
    <w:rsid w:val="006E70B3"/>
    <w:rsid w:val="006E72FE"/>
    <w:rsid w:val="006E78FC"/>
    <w:rsid w:val="006F0D03"/>
    <w:rsid w:val="006F0E42"/>
    <w:rsid w:val="006F3483"/>
    <w:rsid w:val="006F3B47"/>
    <w:rsid w:val="006F472F"/>
    <w:rsid w:val="006F766E"/>
    <w:rsid w:val="00703F97"/>
    <w:rsid w:val="0070426A"/>
    <w:rsid w:val="00704EF6"/>
    <w:rsid w:val="00705697"/>
    <w:rsid w:val="00706829"/>
    <w:rsid w:val="00711DCC"/>
    <w:rsid w:val="00712B0C"/>
    <w:rsid w:val="007140D3"/>
    <w:rsid w:val="0071426A"/>
    <w:rsid w:val="007149B3"/>
    <w:rsid w:val="007152D9"/>
    <w:rsid w:val="00715EFD"/>
    <w:rsid w:val="0071744F"/>
    <w:rsid w:val="007176F9"/>
    <w:rsid w:val="0071770B"/>
    <w:rsid w:val="00717CEE"/>
    <w:rsid w:val="00720086"/>
    <w:rsid w:val="00720BF2"/>
    <w:rsid w:val="00721936"/>
    <w:rsid w:val="00721E27"/>
    <w:rsid w:val="00724D5D"/>
    <w:rsid w:val="00727285"/>
    <w:rsid w:val="0072781E"/>
    <w:rsid w:val="00730AE8"/>
    <w:rsid w:val="00730F9E"/>
    <w:rsid w:val="00731954"/>
    <w:rsid w:val="00732572"/>
    <w:rsid w:val="00734092"/>
    <w:rsid w:val="007344A5"/>
    <w:rsid w:val="007345AA"/>
    <w:rsid w:val="007351FE"/>
    <w:rsid w:val="00735274"/>
    <w:rsid w:val="0073720C"/>
    <w:rsid w:val="00737F48"/>
    <w:rsid w:val="007406EB"/>
    <w:rsid w:val="00740CB5"/>
    <w:rsid w:val="0074143A"/>
    <w:rsid w:val="007420B6"/>
    <w:rsid w:val="007435F7"/>
    <w:rsid w:val="007457B0"/>
    <w:rsid w:val="0074679A"/>
    <w:rsid w:val="00746E89"/>
    <w:rsid w:val="007471E6"/>
    <w:rsid w:val="00752646"/>
    <w:rsid w:val="007531C0"/>
    <w:rsid w:val="00753441"/>
    <w:rsid w:val="00753569"/>
    <w:rsid w:val="00753A35"/>
    <w:rsid w:val="00753D04"/>
    <w:rsid w:val="007567CF"/>
    <w:rsid w:val="007575FE"/>
    <w:rsid w:val="007603F9"/>
    <w:rsid w:val="00761B6A"/>
    <w:rsid w:val="00761E75"/>
    <w:rsid w:val="00763214"/>
    <w:rsid w:val="00763B6D"/>
    <w:rsid w:val="00763D04"/>
    <w:rsid w:val="007646E3"/>
    <w:rsid w:val="00764CE9"/>
    <w:rsid w:val="00765469"/>
    <w:rsid w:val="007660D8"/>
    <w:rsid w:val="00770B36"/>
    <w:rsid w:val="0077137E"/>
    <w:rsid w:val="0077359A"/>
    <w:rsid w:val="0077372E"/>
    <w:rsid w:val="00773A92"/>
    <w:rsid w:val="00773DC3"/>
    <w:rsid w:val="00774F13"/>
    <w:rsid w:val="00775C04"/>
    <w:rsid w:val="00776211"/>
    <w:rsid w:val="00776C3C"/>
    <w:rsid w:val="007808A8"/>
    <w:rsid w:val="007832B5"/>
    <w:rsid w:val="00783FD3"/>
    <w:rsid w:val="007848D0"/>
    <w:rsid w:val="007853B9"/>
    <w:rsid w:val="00785881"/>
    <w:rsid w:val="00785BAB"/>
    <w:rsid w:val="007862AC"/>
    <w:rsid w:val="00791020"/>
    <w:rsid w:val="007913C5"/>
    <w:rsid w:val="00792EC2"/>
    <w:rsid w:val="00793A11"/>
    <w:rsid w:val="007940F2"/>
    <w:rsid w:val="00794192"/>
    <w:rsid w:val="00794CA8"/>
    <w:rsid w:val="00795D2A"/>
    <w:rsid w:val="007966DE"/>
    <w:rsid w:val="007A02D4"/>
    <w:rsid w:val="007A099F"/>
    <w:rsid w:val="007A0FD6"/>
    <w:rsid w:val="007A1F52"/>
    <w:rsid w:val="007A288A"/>
    <w:rsid w:val="007A4111"/>
    <w:rsid w:val="007A4387"/>
    <w:rsid w:val="007A5672"/>
    <w:rsid w:val="007A63DB"/>
    <w:rsid w:val="007A74D1"/>
    <w:rsid w:val="007A7ECD"/>
    <w:rsid w:val="007B01D0"/>
    <w:rsid w:val="007B0403"/>
    <w:rsid w:val="007B12C5"/>
    <w:rsid w:val="007B1C2D"/>
    <w:rsid w:val="007B2F9A"/>
    <w:rsid w:val="007B3A99"/>
    <w:rsid w:val="007B3DE0"/>
    <w:rsid w:val="007B460B"/>
    <w:rsid w:val="007B4AF8"/>
    <w:rsid w:val="007B5E65"/>
    <w:rsid w:val="007B774D"/>
    <w:rsid w:val="007B7F65"/>
    <w:rsid w:val="007C3772"/>
    <w:rsid w:val="007C37DC"/>
    <w:rsid w:val="007C3AFF"/>
    <w:rsid w:val="007C3FF0"/>
    <w:rsid w:val="007C4B81"/>
    <w:rsid w:val="007C5203"/>
    <w:rsid w:val="007C7950"/>
    <w:rsid w:val="007D1491"/>
    <w:rsid w:val="007D1A46"/>
    <w:rsid w:val="007D2B5C"/>
    <w:rsid w:val="007D3C5C"/>
    <w:rsid w:val="007D556C"/>
    <w:rsid w:val="007D7563"/>
    <w:rsid w:val="007D783C"/>
    <w:rsid w:val="007D792B"/>
    <w:rsid w:val="007D7A50"/>
    <w:rsid w:val="007D7CAD"/>
    <w:rsid w:val="007E0A90"/>
    <w:rsid w:val="007E252E"/>
    <w:rsid w:val="007E3328"/>
    <w:rsid w:val="007E3625"/>
    <w:rsid w:val="007E52B6"/>
    <w:rsid w:val="007E5F90"/>
    <w:rsid w:val="007E619C"/>
    <w:rsid w:val="007E6824"/>
    <w:rsid w:val="007E6FEC"/>
    <w:rsid w:val="007F0826"/>
    <w:rsid w:val="007F0EB9"/>
    <w:rsid w:val="007F1535"/>
    <w:rsid w:val="007F1839"/>
    <w:rsid w:val="007F210D"/>
    <w:rsid w:val="007F25F9"/>
    <w:rsid w:val="007F2DCB"/>
    <w:rsid w:val="007F4045"/>
    <w:rsid w:val="007F407F"/>
    <w:rsid w:val="007F4174"/>
    <w:rsid w:val="007F4196"/>
    <w:rsid w:val="007F6E16"/>
    <w:rsid w:val="007F74F0"/>
    <w:rsid w:val="007F7D4E"/>
    <w:rsid w:val="00800336"/>
    <w:rsid w:val="0080403D"/>
    <w:rsid w:val="008057C3"/>
    <w:rsid w:val="0080591A"/>
    <w:rsid w:val="008109E6"/>
    <w:rsid w:val="00810ACE"/>
    <w:rsid w:val="00810F29"/>
    <w:rsid w:val="00811F8F"/>
    <w:rsid w:val="00812428"/>
    <w:rsid w:val="008139A1"/>
    <w:rsid w:val="00813CBD"/>
    <w:rsid w:val="00814FDA"/>
    <w:rsid w:val="00817236"/>
    <w:rsid w:val="00817AED"/>
    <w:rsid w:val="00820C17"/>
    <w:rsid w:val="00821562"/>
    <w:rsid w:val="00822C02"/>
    <w:rsid w:val="0082344A"/>
    <w:rsid w:val="0082559F"/>
    <w:rsid w:val="00825830"/>
    <w:rsid w:val="008261E4"/>
    <w:rsid w:val="0082654C"/>
    <w:rsid w:val="00833C47"/>
    <w:rsid w:val="00834C2C"/>
    <w:rsid w:val="0083536B"/>
    <w:rsid w:val="008353B4"/>
    <w:rsid w:val="008358C3"/>
    <w:rsid w:val="00835B11"/>
    <w:rsid w:val="00836091"/>
    <w:rsid w:val="008374F0"/>
    <w:rsid w:val="008401A5"/>
    <w:rsid w:val="00840EC4"/>
    <w:rsid w:val="008421AB"/>
    <w:rsid w:val="0084452D"/>
    <w:rsid w:val="00844D3B"/>
    <w:rsid w:val="00844D4D"/>
    <w:rsid w:val="00845775"/>
    <w:rsid w:val="0084650D"/>
    <w:rsid w:val="00852E48"/>
    <w:rsid w:val="00853254"/>
    <w:rsid w:val="008539D4"/>
    <w:rsid w:val="00854561"/>
    <w:rsid w:val="00860110"/>
    <w:rsid w:val="008604BE"/>
    <w:rsid w:val="00862B07"/>
    <w:rsid w:val="00862B4E"/>
    <w:rsid w:val="00862E2B"/>
    <w:rsid w:val="00862E3B"/>
    <w:rsid w:val="00864919"/>
    <w:rsid w:val="00865C99"/>
    <w:rsid w:val="00867E30"/>
    <w:rsid w:val="00870B38"/>
    <w:rsid w:val="00870CE7"/>
    <w:rsid w:val="0087231C"/>
    <w:rsid w:val="00872ADB"/>
    <w:rsid w:val="00874F92"/>
    <w:rsid w:val="00876F99"/>
    <w:rsid w:val="0087709A"/>
    <w:rsid w:val="0087791D"/>
    <w:rsid w:val="008801E7"/>
    <w:rsid w:val="00883474"/>
    <w:rsid w:val="0088360D"/>
    <w:rsid w:val="00883715"/>
    <w:rsid w:val="0088372A"/>
    <w:rsid w:val="00883CE5"/>
    <w:rsid w:val="00884E0B"/>
    <w:rsid w:val="00886257"/>
    <w:rsid w:val="00886ECD"/>
    <w:rsid w:val="00887AD8"/>
    <w:rsid w:val="0089153E"/>
    <w:rsid w:val="0089154F"/>
    <w:rsid w:val="00892AA5"/>
    <w:rsid w:val="00894B09"/>
    <w:rsid w:val="008951A6"/>
    <w:rsid w:val="00895DB2"/>
    <w:rsid w:val="008965BA"/>
    <w:rsid w:val="0089786C"/>
    <w:rsid w:val="00897B4D"/>
    <w:rsid w:val="008A09E3"/>
    <w:rsid w:val="008A1B85"/>
    <w:rsid w:val="008A2A2E"/>
    <w:rsid w:val="008A2AB5"/>
    <w:rsid w:val="008A5B16"/>
    <w:rsid w:val="008A691B"/>
    <w:rsid w:val="008A7A3D"/>
    <w:rsid w:val="008B0317"/>
    <w:rsid w:val="008B05DD"/>
    <w:rsid w:val="008B1319"/>
    <w:rsid w:val="008B1786"/>
    <w:rsid w:val="008B1B58"/>
    <w:rsid w:val="008B1CF5"/>
    <w:rsid w:val="008B71B6"/>
    <w:rsid w:val="008B758A"/>
    <w:rsid w:val="008B7B60"/>
    <w:rsid w:val="008C24E0"/>
    <w:rsid w:val="008C337C"/>
    <w:rsid w:val="008C54C6"/>
    <w:rsid w:val="008C59EC"/>
    <w:rsid w:val="008C79AB"/>
    <w:rsid w:val="008D025E"/>
    <w:rsid w:val="008D0C71"/>
    <w:rsid w:val="008D12A7"/>
    <w:rsid w:val="008D140F"/>
    <w:rsid w:val="008D190F"/>
    <w:rsid w:val="008D19DD"/>
    <w:rsid w:val="008D2420"/>
    <w:rsid w:val="008D368A"/>
    <w:rsid w:val="008D3E9D"/>
    <w:rsid w:val="008D3F41"/>
    <w:rsid w:val="008D4B70"/>
    <w:rsid w:val="008D578C"/>
    <w:rsid w:val="008D629E"/>
    <w:rsid w:val="008E0856"/>
    <w:rsid w:val="008E0ADC"/>
    <w:rsid w:val="008E0C33"/>
    <w:rsid w:val="008E2063"/>
    <w:rsid w:val="008E216D"/>
    <w:rsid w:val="008E2576"/>
    <w:rsid w:val="008E3B8F"/>
    <w:rsid w:val="008E3CD3"/>
    <w:rsid w:val="008E66A9"/>
    <w:rsid w:val="008E6909"/>
    <w:rsid w:val="008E7187"/>
    <w:rsid w:val="008E7EFA"/>
    <w:rsid w:val="008F0BC5"/>
    <w:rsid w:val="008F3319"/>
    <w:rsid w:val="008F3E94"/>
    <w:rsid w:val="008F4AC2"/>
    <w:rsid w:val="008F4D73"/>
    <w:rsid w:val="008F4E33"/>
    <w:rsid w:val="008F52A8"/>
    <w:rsid w:val="008F5B78"/>
    <w:rsid w:val="008F7596"/>
    <w:rsid w:val="009017CB"/>
    <w:rsid w:val="00901B63"/>
    <w:rsid w:val="00903199"/>
    <w:rsid w:val="009044A3"/>
    <w:rsid w:val="00904ED8"/>
    <w:rsid w:val="00905633"/>
    <w:rsid w:val="00907244"/>
    <w:rsid w:val="00907384"/>
    <w:rsid w:val="00912B66"/>
    <w:rsid w:val="00913E33"/>
    <w:rsid w:val="00915468"/>
    <w:rsid w:val="00915553"/>
    <w:rsid w:val="00915626"/>
    <w:rsid w:val="00916546"/>
    <w:rsid w:val="00917907"/>
    <w:rsid w:val="00921113"/>
    <w:rsid w:val="009212AD"/>
    <w:rsid w:val="009212C7"/>
    <w:rsid w:val="0092144D"/>
    <w:rsid w:val="009225E5"/>
    <w:rsid w:val="009235A4"/>
    <w:rsid w:val="00923D14"/>
    <w:rsid w:val="009274CD"/>
    <w:rsid w:val="00930AD0"/>
    <w:rsid w:val="0093114A"/>
    <w:rsid w:val="00931D86"/>
    <w:rsid w:val="0093458A"/>
    <w:rsid w:val="00935C44"/>
    <w:rsid w:val="009409CB"/>
    <w:rsid w:val="00940CC4"/>
    <w:rsid w:val="0094106F"/>
    <w:rsid w:val="00941BD7"/>
    <w:rsid w:val="00941C2A"/>
    <w:rsid w:val="00941FB7"/>
    <w:rsid w:val="0094250E"/>
    <w:rsid w:val="00942F9C"/>
    <w:rsid w:val="00943A1B"/>
    <w:rsid w:val="00943D26"/>
    <w:rsid w:val="00944063"/>
    <w:rsid w:val="00944147"/>
    <w:rsid w:val="0094479D"/>
    <w:rsid w:val="00945686"/>
    <w:rsid w:val="009459F6"/>
    <w:rsid w:val="00950FEF"/>
    <w:rsid w:val="009515E7"/>
    <w:rsid w:val="0095279C"/>
    <w:rsid w:val="00952CE5"/>
    <w:rsid w:val="00953363"/>
    <w:rsid w:val="009537BE"/>
    <w:rsid w:val="00953EDF"/>
    <w:rsid w:val="00955D48"/>
    <w:rsid w:val="00955E10"/>
    <w:rsid w:val="00956227"/>
    <w:rsid w:val="00957F82"/>
    <w:rsid w:val="00960A5C"/>
    <w:rsid w:val="009625E7"/>
    <w:rsid w:val="0096260D"/>
    <w:rsid w:val="00966A1C"/>
    <w:rsid w:val="009679F6"/>
    <w:rsid w:val="00967DB9"/>
    <w:rsid w:val="00970916"/>
    <w:rsid w:val="00970CC4"/>
    <w:rsid w:val="00970D67"/>
    <w:rsid w:val="00971266"/>
    <w:rsid w:val="00972A0E"/>
    <w:rsid w:val="00972BCB"/>
    <w:rsid w:val="0097327F"/>
    <w:rsid w:val="00973CF4"/>
    <w:rsid w:val="00973F79"/>
    <w:rsid w:val="009745E9"/>
    <w:rsid w:val="00974E77"/>
    <w:rsid w:val="00974E85"/>
    <w:rsid w:val="00976DBB"/>
    <w:rsid w:val="00980F9C"/>
    <w:rsid w:val="00981F03"/>
    <w:rsid w:val="0098206A"/>
    <w:rsid w:val="00982514"/>
    <w:rsid w:val="00983178"/>
    <w:rsid w:val="009834F0"/>
    <w:rsid w:val="00983643"/>
    <w:rsid w:val="00983A1E"/>
    <w:rsid w:val="00984F5A"/>
    <w:rsid w:val="00985051"/>
    <w:rsid w:val="00985191"/>
    <w:rsid w:val="009867BB"/>
    <w:rsid w:val="00986861"/>
    <w:rsid w:val="009870D0"/>
    <w:rsid w:val="0098738E"/>
    <w:rsid w:val="009879BA"/>
    <w:rsid w:val="00987DC7"/>
    <w:rsid w:val="00991001"/>
    <w:rsid w:val="00991F73"/>
    <w:rsid w:val="00991FE7"/>
    <w:rsid w:val="00992D02"/>
    <w:rsid w:val="00992EAB"/>
    <w:rsid w:val="00993AC7"/>
    <w:rsid w:val="00994A3C"/>
    <w:rsid w:val="00995090"/>
    <w:rsid w:val="009A0925"/>
    <w:rsid w:val="009A1052"/>
    <w:rsid w:val="009A1397"/>
    <w:rsid w:val="009A14CB"/>
    <w:rsid w:val="009A19FC"/>
    <w:rsid w:val="009A2561"/>
    <w:rsid w:val="009A5065"/>
    <w:rsid w:val="009A5635"/>
    <w:rsid w:val="009A5DF2"/>
    <w:rsid w:val="009A6165"/>
    <w:rsid w:val="009A6F09"/>
    <w:rsid w:val="009B00C5"/>
    <w:rsid w:val="009B1848"/>
    <w:rsid w:val="009B1CCE"/>
    <w:rsid w:val="009B2455"/>
    <w:rsid w:val="009B29B8"/>
    <w:rsid w:val="009B32D8"/>
    <w:rsid w:val="009B34D1"/>
    <w:rsid w:val="009B4C8D"/>
    <w:rsid w:val="009B6608"/>
    <w:rsid w:val="009B6C8F"/>
    <w:rsid w:val="009B6CA8"/>
    <w:rsid w:val="009B6EFE"/>
    <w:rsid w:val="009B7603"/>
    <w:rsid w:val="009B7D24"/>
    <w:rsid w:val="009C15DB"/>
    <w:rsid w:val="009C2951"/>
    <w:rsid w:val="009C5791"/>
    <w:rsid w:val="009C61BE"/>
    <w:rsid w:val="009C67AC"/>
    <w:rsid w:val="009C6BE1"/>
    <w:rsid w:val="009C7B18"/>
    <w:rsid w:val="009C7CA0"/>
    <w:rsid w:val="009C7CA6"/>
    <w:rsid w:val="009C7D65"/>
    <w:rsid w:val="009D11A3"/>
    <w:rsid w:val="009D2DEE"/>
    <w:rsid w:val="009D4182"/>
    <w:rsid w:val="009D5D5E"/>
    <w:rsid w:val="009E12B2"/>
    <w:rsid w:val="009E1A00"/>
    <w:rsid w:val="009E2F1D"/>
    <w:rsid w:val="009E3481"/>
    <w:rsid w:val="009E43FF"/>
    <w:rsid w:val="009E69CE"/>
    <w:rsid w:val="009E7168"/>
    <w:rsid w:val="009F0788"/>
    <w:rsid w:val="009F43C9"/>
    <w:rsid w:val="009F5474"/>
    <w:rsid w:val="009F569E"/>
    <w:rsid w:val="009F7784"/>
    <w:rsid w:val="009F790B"/>
    <w:rsid w:val="009F7B0D"/>
    <w:rsid w:val="00A0165C"/>
    <w:rsid w:val="00A0180F"/>
    <w:rsid w:val="00A0381E"/>
    <w:rsid w:val="00A0499A"/>
    <w:rsid w:val="00A04B5A"/>
    <w:rsid w:val="00A0602B"/>
    <w:rsid w:val="00A06E84"/>
    <w:rsid w:val="00A079C7"/>
    <w:rsid w:val="00A114C0"/>
    <w:rsid w:val="00A11C3F"/>
    <w:rsid w:val="00A13C00"/>
    <w:rsid w:val="00A152CE"/>
    <w:rsid w:val="00A165C1"/>
    <w:rsid w:val="00A168E4"/>
    <w:rsid w:val="00A175FE"/>
    <w:rsid w:val="00A200BC"/>
    <w:rsid w:val="00A207EE"/>
    <w:rsid w:val="00A229CA"/>
    <w:rsid w:val="00A23060"/>
    <w:rsid w:val="00A234E5"/>
    <w:rsid w:val="00A23C3F"/>
    <w:rsid w:val="00A25363"/>
    <w:rsid w:val="00A25412"/>
    <w:rsid w:val="00A25B12"/>
    <w:rsid w:val="00A26AD4"/>
    <w:rsid w:val="00A26F74"/>
    <w:rsid w:val="00A2701A"/>
    <w:rsid w:val="00A271A2"/>
    <w:rsid w:val="00A273EA"/>
    <w:rsid w:val="00A27ACB"/>
    <w:rsid w:val="00A27E9C"/>
    <w:rsid w:val="00A31584"/>
    <w:rsid w:val="00A330AA"/>
    <w:rsid w:val="00A33257"/>
    <w:rsid w:val="00A34D6D"/>
    <w:rsid w:val="00A34E8D"/>
    <w:rsid w:val="00A35B6E"/>
    <w:rsid w:val="00A35FC0"/>
    <w:rsid w:val="00A369BB"/>
    <w:rsid w:val="00A36BE6"/>
    <w:rsid w:val="00A37874"/>
    <w:rsid w:val="00A4009F"/>
    <w:rsid w:val="00A4363A"/>
    <w:rsid w:val="00A45179"/>
    <w:rsid w:val="00A46570"/>
    <w:rsid w:val="00A4674E"/>
    <w:rsid w:val="00A4688E"/>
    <w:rsid w:val="00A47197"/>
    <w:rsid w:val="00A477FE"/>
    <w:rsid w:val="00A50283"/>
    <w:rsid w:val="00A503B1"/>
    <w:rsid w:val="00A504B1"/>
    <w:rsid w:val="00A50A0E"/>
    <w:rsid w:val="00A5155D"/>
    <w:rsid w:val="00A51B2C"/>
    <w:rsid w:val="00A52251"/>
    <w:rsid w:val="00A52B51"/>
    <w:rsid w:val="00A54982"/>
    <w:rsid w:val="00A54D8E"/>
    <w:rsid w:val="00A54F0D"/>
    <w:rsid w:val="00A55001"/>
    <w:rsid w:val="00A6137C"/>
    <w:rsid w:val="00A61663"/>
    <w:rsid w:val="00A625E6"/>
    <w:rsid w:val="00A626E2"/>
    <w:rsid w:val="00A627E9"/>
    <w:rsid w:val="00A62BFA"/>
    <w:rsid w:val="00A659DD"/>
    <w:rsid w:val="00A70881"/>
    <w:rsid w:val="00A70A40"/>
    <w:rsid w:val="00A70CB3"/>
    <w:rsid w:val="00A7128C"/>
    <w:rsid w:val="00A717D7"/>
    <w:rsid w:val="00A7190E"/>
    <w:rsid w:val="00A71D90"/>
    <w:rsid w:val="00A731D4"/>
    <w:rsid w:val="00A73D6D"/>
    <w:rsid w:val="00A73F20"/>
    <w:rsid w:val="00A74178"/>
    <w:rsid w:val="00A7617D"/>
    <w:rsid w:val="00A7662F"/>
    <w:rsid w:val="00A80225"/>
    <w:rsid w:val="00A8227B"/>
    <w:rsid w:val="00A837DE"/>
    <w:rsid w:val="00A83808"/>
    <w:rsid w:val="00A83ACC"/>
    <w:rsid w:val="00A83CFE"/>
    <w:rsid w:val="00A857BF"/>
    <w:rsid w:val="00A85914"/>
    <w:rsid w:val="00A86813"/>
    <w:rsid w:val="00A868BE"/>
    <w:rsid w:val="00A86A7F"/>
    <w:rsid w:val="00A901C0"/>
    <w:rsid w:val="00A920D8"/>
    <w:rsid w:val="00A92328"/>
    <w:rsid w:val="00A928D0"/>
    <w:rsid w:val="00A929D5"/>
    <w:rsid w:val="00A945F1"/>
    <w:rsid w:val="00A95A3D"/>
    <w:rsid w:val="00A96AC6"/>
    <w:rsid w:val="00A97004"/>
    <w:rsid w:val="00A9763F"/>
    <w:rsid w:val="00AA1494"/>
    <w:rsid w:val="00AA2CE5"/>
    <w:rsid w:val="00AA3101"/>
    <w:rsid w:val="00AA3169"/>
    <w:rsid w:val="00AA3559"/>
    <w:rsid w:val="00AA3B74"/>
    <w:rsid w:val="00AA670B"/>
    <w:rsid w:val="00AA6DA6"/>
    <w:rsid w:val="00AA7BB2"/>
    <w:rsid w:val="00AB1DE8"/>
    <w:rsid w:val="00AB47A7"/>
    <w:rsid w:val="00AB4947"/>
    <w:rsid w:val="00AB6274"/>
    <w:rsid w:val="00AC0236"/>
    <w:rsid w:val="00AC08D3"/>
    <w:rsid w:val="00AC11FC"/>
    <w:rsid w:val="00AC2164"/>
    <w:rsid w:val="00AC39ED"/>
    <w:rsid w:val="00AC44DB"/>
    <w:rsid w:val="00AC53BC"/>
    <w:rsid w:val="00AC588C"/>
    <w:rsid w:val="00AC6651"/>
    <w:rsid w:val="00AC6890"/>
    <w:rsid w:val="00AC7BFC"/>
    <w:rsid w:val="00AC7DC6"/>
    <w:rsid w:val="00AD0D3B"/>
    <w:rsid w:val="00AD1AFF"/>
    <w:rsid w:val="00AD2874"/>
    <w:rsid w:val="00AD2D3A"/>
    <w:rsid w:val="00AD54B5"/>
    <w:rsid w:val="00AD6760"/>
    <w:rsid w:val="00AD750F"/>
    <w:rsid w:val="00AE1C31"/>
    <w:rsid w:val="00AE2820"/>
    <w:rsid w:val="00AE496A"/>
    <w:rsid w:val="00AE5177"/>
    <w:rsid w:val="00AE54A6"/>
    <w:rsid w:val="00AE6152"/>
    <w:rsid w:val="00AE6CC0"/>
    <w:rsid w:val="00AE717E"/>
    <w:rsid w:val="00AE7967"/>
    <w:rsid w:val="00AF1679"/>
    <w:rsid w:val="00AF2CDF"/>
    <w:rsid w:val="00AF2F58"/>
    <w:rsid w:val="00AF341D"/>
    <w:rsid w:val="00B0164A"/>
    <w:rsid w:val="00B0399C"/>
    <w:rsid w:val="00B04CEF"/>
    <w:rsid w:val="00B06F99"/>
    <w:rsid w:val="00B10083"/>
    <w:rsid w:val="00B10D57"/>
    <w:rsid w:val="00B116A4"/>
    <w:rsid w:val="00B11A85"/>
    <w:rsid w:val="00B11B73"/>
    <w:rsid w:val="00B11BAB"/>
    <w:rsid w:val="00B121F3"/>
    <w:rsid w:val="00B130FA"/>
    <w:rsid w:val="00B13163"/>
    <w:rsid w:val="00B14955"/>
    <w:rsid w:val="00B14BD8"/>
    <w:rsid w:val="00B15F3E"/>
    <w:rsid w:val="00B16773"/>
    <w:rsid w:val="00B169C1"/>
    <w:rsid w:val="00B16CCF"/>
    <w:rsid w:val="00B16F6F"/>
    <w:rsid w:val="00B16FD9"/>
    <w:rsid w:val="00B1727E"/>
    <w:rsid w:val="00B17FF9"/>
    <w:rsid w:val="00B204B7"/>
    <w:rsid w:val="00B207E9"/>
    <w:rsid w:val="00B232E2"/>
    <w:rsid w:val="00B23BC2"/>
    <w:rsid w:val="00B254C0"/>
    <w:rsid w:val="00B25E8F"/>
    <w:rsid w:val="00B26DE0"/>
    <w:rsid w:val="00B2733C"/>
    <w:rsid w:val="00B31178"/>
    <w:rsid w:val="00B31330"/>
    <w:rsid w:val="00B31D59"/>
    <w:rsid w:val="00B32B78"/>
    <w:rsid w:val="00B352BE"/>
    <w:rsid w:val="00B35AB1"/>
    <w:rsid w:val="00B35AC6"/>
    <w:rsid w:val="00B35DD0"/>
    <w:rsid w:val="00B37831"/>
    <w:rsid w:val="00B401D6"/>
    <w:rsid w:val="00B401F5"/>
    <w:rsid w:val="00B40C72"/>
    <w:rsid w:val="00B414BF"/>
    <w:rsid w:val="00B42FBC"/>
    <w:rsid w:val="00B430E3"/>
    <w:rsid w:val="00B431C4"/>
    <w:rsid w:val="00B44C40"/>
    <w:rsid w:val="00B458AC"/>
    <w:rsid w:val="00B45A33"/>
    <w:rsid w:val="00B46A46"/>
    <w:rsid w:val="00B46FD0"/>
    <w:rsid w:val="00B472D3"/>
    <w:rsid w:val="00B5028C"/>
    <w:rsid w:val="00B5047D"/>
    <w:rsid w:val="00B50B98"/>
    <w:rsid w:val="00B52016"/>
    <w:rsid w:val="00B525BF"/>
    <w:rsid w:val="00B5354E"/>
    <w:rsid w:val="00B54579"/>
    <w:rsid w:val="00B547A5"/>
    <w:rsid w:val="00B54A4A"/>
    <w:rsid w:val="00B5591A"/>
    <w:rsid w:val="00B56D55"/>
    <w:rsid w:val="00B60FD4"/>
    <w:rsid w:val="00B62216"/>
    <w:rsid w:val="00B62B34"/>
    <w:rsid w:val="00B63244"/>
    <w:rsid w:val="00B63509"/>
    <w:rsid w:val="00B63933"/>
    <w:rsid w:val="00B63D09"/>
    <w:rsid w:val="00B64D28"/>
    <w:rsid w:val="00B65032"/>
    <w:rsid w:val="00B66C2C"/>
    <w:rsid w:val="00B71B7D"/>
    <w:rsid w:val="00B71D03"/>
    <w:rsid w:val="00B71EEF"/>
    <w:rsid w:val="00B723F8"/>
    <w:rsid w:val="00B73A08"/>
    <w:rsid w:val="00B75B91"/>
    <w:rsid w:val="00B75BE3"/>
    <w:rsid w:val="00B75DB3"/>
    <w:rsid w:val="00B773A4"/>
    <w:rsid w:val="00B775BB"/>
    <w:rsid w:val="00B77E2E"/>
    <w:rsid w:val="00B80338"/>
    <w:rsid w:val="00B817C9"/>
    <w:rsid w:val="00B8290F"/>
    <w:rsid w:val="00B8324F"/>
    <w:rsid w:val="00B85942"/>
    <w:rsid w:val="00B86F91"/>
    <w:rsid w:val="00B87221"/>
    <w:rsid w:val="00B87D4A"/>
    <w:rsid w:val="00B906F7"/>
    <w:rsid w:val="00B9295B"/>
    <w:rsid w:val="00B934A4"/>
    <w:rsid w:val="00B94B21"/>
    <w:rsid w:val="00B94CB9"/>
    <w:rsid w:val="00B9667E"/>
    <w:rsid w:val="00B97305"/>
    <w:rsid w:val="00BA2622"/>
    <w:rsid w:val="00BA27DA"/>
    <w:rsid w:val="00BA58B4"/>
    <w:rsid w:val="00BA5CD6"/>
    <w:rsid w:val="00BA7169"/>
    <w:rsid w:val="00BA72B0"/>
    <w:rsid w:val="00BB1532"/>
    <w:rsid w:val="00BB1ECE"/>
    <w:rsid w:val="00BB2D12"/>
    <w:rsid w:val="00BB2D5B"/>
    <w:rsid w:val="00BB3658"/>
    <w:rsid w:val="00BB60E3"/>
    <w:rsid w:val="00BB6909"/>
    <w:rsid w:val="00BB719C"/>
    <w:rsid w:val="00BC03D5"/>
    <w:rsid w:val="00BC200A"/>
    <w:rsid w:val="00BC2038"/>
    <w:rsid w:val="00BC4DDC"/>
    <w:rsid w:val="00BC5FAA"/>
    <w:rsid w:val="00BC76CB"/>
    <w:rsid w:val="00BC7A1D"/>
    <w:rsid w:val="00BD0CD7"/>
    <w:rsid w:val="00BD1ABD"/>
    <w:rsid w:val="00BD1BF0"/>
    <w:rsid w:val="00BD2D1C"/>
    <w:rsid w:val="00BD437B"/>
    <w:rsid w:val="00BD47C5"/>
    <w:rsid w:val="00BD50B5"/>
    <w:rsid w:val="00BD5B99"/>
    <w:rsid w:val="00BD5E35"/>
    <w:rsid w:val="00BD710E"/>
    <w:rsid w:val="00BD758C"/>
    <w:rsid w:val="00BE1529"/>
    <w:rsid w:val="00BE2485"/>
    <w:rsid w:val="00BE27B6"/>
    <w:rsid w:val="00BE2DC6"/>
    <w:rsid w:val="00BE391D"/>
    <w:rsid w:val="00BE5CE1"/>
    <w:rsid w:val="00BE6255"/>
    <w:rsid w:val="00BF0A6F"/>
    <w:rsid w:val="00BF1FE3"/>
    <w:rsid w:val="00BF28A5"/>
    <w:rsid w:val="00BF324E"/>
    <w:rsid w:val="00BF32B3"/>
    <w:rsid w:val="00BF32BD"/>
    <w:rsid w:val="00BF338E"/>
    <w:rsid w:val="00BF447D"/>
    <w:rsid w:val="00BF4584"/>
    <w:rsid w:val="00BF4661"/>
    <w:rsid w:val="00BF4667"/>
    <w:rsid w:val="00BF46E4"/>
    <w:rsid w:val="00BF55B6"/>
    <w:rsid w:val="00BF5622"/>
    <w:rsid w:val="00BF6658"/>
    <w:rsid w:val="00BF68A9"/>
    <w:rsid w:val="00BF7500"/>
    <w:rsid w:val="00BF7844"/>
    <w:rsid w:val="00C000A7"/>
    <w:rsid w:val="00C00B89"/>
    <w:rsid w:val="00C014B2"/>
    <w:rsid w:val="00C01763"/>
    <w:rsid w:val="00C027DF"/>
    <w:rsid w:val="00C02F6B"/>
    <w:rsid w:val="00C03C16"/>
    <w:rsid w:val="00C03D17"/>
    <w:rsid w:val="00C04D7F"/>
    <w:rsid w:val="00C04F0B"/>
    <w:rsid w:val="00C062AE"/>
    <w:rsid w:val="00C0637D"/>
    <w:rsid w:val="00C0747A"/>
    <w:rsid w:val="00C11983"/>
    <w:rsid w:val="00C11DAD"/>
    <w:rsid w:val="00C11F21"/>
    <w:rsid w:val="00C126DD"/>
    <w:rsid w:val="00C1297C"/>
    <w:rsid w:val="00C13A84"/>
    <w:rsid w:val="00C14341"/>
    <w:rsid w:val="00C14396"/>
    <w:rsid w:val="00C14B66"/>
    <w:rsid w:val="00C15319"/>
    <w:rsid w:val="00C169B6"/>
    <w:rsid w:val="00C178AA"/>
    <w:rsid w:val="00C17CE1"/>
    <w:rsid w:val="00C20BBF"/>
    <w:rsid w:val="00C21C0B"/>
    <w:rsid w:val="00C225AD"/>
    <w:rsid w:val="00C227B1"/>
    <w:rsid w:val="00C23CB4"/>
    <w:rsid w:val="00C23F33"/>
    <w:rsid w:val="00C24254"/>
    <w:rsid w:val="00C24961"/>
    <w:rsid w:val="00C2703A"/>
    <w:rsid w:val="00C27CB6"/>
    <w:rsid w:val="00C3029B"/>
    <w:rsid w:val="00C31CCC"/>
    <w:rsid w:val="00C31F1C"/>
    <w:rsid w:val="00C354A4"/>
    <w:rsid w:val="00C360D5"/>
    <w:rsid w:val="00C36877"/>
    <w:rsid w:val="00C373FC"/>
    <w:rsid w:val="00C3787C"/>
    <w:rsid w:val="00C40043"/>
    <w:rsid w:val="00C407D3"/>
    <w:rsid w:val="00C41C83"/>
    <w:rsid w:val="00C44759"/>
    <w:rsid w:val="00C44853"/>
    <w:rsid w:val="00C44B04"/>
    <w:rsid w:val="00C501B1"/>
    <w:rsid w:val="00C508E3"/>
    <w:rsid w:val="00C5189C"/>
    <w:rsid w:val="00C51D0D"/>
    <w:rsid w:val="00C523F9"/>
    <w:rsid w:val="00C52784"/>
    <w:rsid w:val="00C52EE1"/>
    <w:rsid w:val="00C53FBB"/>
    <w:rsid w:val="00C543D6"/>
    <w:rsid w:val="00C549E3"/>
    <w:rsid w:val="00C55A02"/>
    <w:rsid w:val="00C566C0"/>
    <w:rsid w:val="00C56713"/>
    <w:rsid w:val="00C56805"/>
    <w:rsid w:val="00C56FDD"/>
    <w:rsid w:val="00C57A08"/>
    <w:rsid w:val="00C57BC4"/>
    <w:rsid w:val="00C60162"/>
    <w:rsid w:val="00C60258"/>
    <w:rsid w:val="00C60A31"/>
    <w:rsid w:val="00C624C5"/>
    <w:rsid w:val="00C62552"/>
    <w:rsid w:val="00C625DA"/>
    <w:rsid w:val="00C638D4"/>
    <w:rsid w:val="00C63B44"/>
    <w:rsid w:val="00C63BEA"/>
    <w:rsid w:val="00C63DB7"/>
    <w:rsid w:val="00C64144"/>
    <w:rsid w:val="00C65C5F"/>
    <w:rsid w:val="00C67EFF"/>
    <w:rsid w:val="00C70FDE"/>
    <w:rsid w:val="00C725D3"/>
    <w:rsid w:val="00C734A8"/>
    <w:rsid w:val="00C7356F"/>
    <w:rsid w:val="00C73DAF"/>
    <w:rsid w:val="00C76047"/>
    <w:rsid w:val="00C7624F"/>
    <w:rsid w:val="00C767C6"/>
    <w:rsid w:val="00C76A0B"/>
    <w:rsid w:val="00C76D94"/>
    <w:rsid w:val="00C8086F"/>
    <w:rsid w:val="00C80B7F"/>
    <w:rsid w:val="00C82199"/>
    <w:rsid w:val="00C82291"/>
    <w:rsid w:val="00C82EC2"/>
    <w:rsid w:val="00C83B12"/>
    <w:rsid w:val="00C8636D"/>
    <w:rsid w:val="00C86579"/>
    <w:rsid w:val="00C86780"/>
    <w:rsid w:val="00C86BB0"/>
    <w:rsid w:val="00C876F7"/>
    <w:rsid w:val="00C87F26"/>
    <w:rsid w:val="00C9040F"/>
    <w:rsid w:val="00C906C2"/>
    <w:rsid w:val="00C9072D"/>
    <w:rsid w:val="00C907A7"/>
    <w:rsid w:val="00C91067"/>
    <w:rsid w:val="00C919FF"/>
    <w:rsid w:val="00C91EEE"/>
    <w:rsid w:val="00C92B77"/>
    <w:rsid w:val="00C9349C"/>
    <w:rsid w:val="00C93B0A"/>
    <w:rsid w:val="00C954E5"/>
    <w:rsid w:val="00C9716B"/>
    <w:rsid w:val="00C97D33"/>
    <w:rsid w:val="00CA03D0"/>
    <w:rsid w:val="00CA0529"/>
    <w:rsid w:val="00CA0F72"/>
    <w:rsid w:val="00CA2597"/>
    <w:rsid w:val="00CA32C2"/>
    <w:rsid w:val="00CA38F1"/>
    <w:rsid w:val="00CA3F45"/>
    <w:rsid w:val="00CA49AC"/>
    <w:rsid w:val="00CA6402"/>
    <w:rsid w:val="00CB02C5"/>
    <w:rsid w:val="00CB09B8"/>
    <w:rsid w:val="00CB1A1A"/>
    <w:rsid w:val="00CB266A"/>
    <w:rsid w:val="00CB2C30"/>
    <w:rsid w:val="00CB2C42"/>
    <w:rsid w:val="00CB2C51"/>
    <w:rsid w:val="00CB2D85"/>
    <w:rsid w:val="00CB30A1"/>
    <w:rsid w:val="00CB32D1"/>
    <w:rsid w:val="00CB37A4"/>
    <w:rsid w:val="00CB44B6"/>
    <w:rsid w:val="00CB4A78"/>
    <w:rsid w:val="00CB5149"/>
    <w:rsid w:val="00CB5276"/>
    <w:rsid w:val="00CB5388"/>
    <w:rsid w:val="00CB62CE"/>
    <w:rsid w:val="00CB7175"/>
    <w:rsid w:val="00CB7736"/>
    <w:rsid w:val="00CC1E0C"/>
    <w:rsid w:val="00CC2347"/>
    <w:rsid w:val="00CC2A77"/>
    <w:rsid w:val="00CC46F2"/>
    <w:rsid w:val="00CC5B04"/>
    <w:rsid w:val="00CC62D8"/>
    <w:rsid w:val="00CC73F3"/>
    <w:rsid w:val="00CC79C4"/>
    <w:rsid w:val="00CD0108"/>
    <w:rsid w:val="00CD1724"/>
    <w:rsid w:val="00CD2C62"/>
    <w:rsid w:val="00CD53AC"/>
    <w:rsid w:val="00CD559E"/>
    <w:rsid w:val="00CE0152"/>
    <w:rsid w:val="00CE08B0"/>
    <w:rsid w:val="00CE3F44"/>
    <w:rsid w:val="00CE5586"/>
    <w:rsid w:val="00CE5E14"/>
    <w:rsid w:val="00CE6501"/>
    <w:rsid w:val="00CF0445"/>
    <w:rsid w:val="00CF0F44"/>
    <w:rsid w:val="00CF22F7"/>
    <w:rsid w:val="00CF3B8A"/>
    <w:rsid w:val="00CF3C87"/>
    <w:rsid w:val="00CF4638"/>
    <w:rsid w:val="00CF47B7"/>
    <w:rsid w:val="00CF50A7"/>
    <w:rsid w:val="00CF51A5"/>
    <w:rsid w:val="00CF68EE"/>
    <w:rsid w:val="00D00E82"/>
    <w:rsid w:val="00D015DF"/>
    <w:rsid w:val="00D01F79"/>
    <w:rsid w:val="00D039FA"/>
    <w:rsid w:val="00D05A67"/>
    <w:rsid w:val="00D05D5E"/>
    <w:rsid w:val="00D05E94"/>
    <w:rsid w:val="00D07DF5"/>
    <w:rsid w:val="00D11969"/>
    <w:rsid w:val="00D12114"/>
    <w:rsid w:val="00D13038"/>
    <w:rsid w:val="00D157D2"/>
    <w:rsid w:val="00D206F2"/>
    <w:rsid w:val="00D20A15"/>
    <w:rsid w:val="00D20E27"/>
    <w:rsid w:val="00D217C5"/>
    <w:rsid w:val="00D21A7B"/>
    <w:rsid w:val="00D230AF"/>
    <w:rsid w:val="00D23C35"/>
    <w:rsid w:val="00D24D9E"/>
    <w:rsid w:val="00D25974"/>
    <w:rsid w:val="00D26244"/>
    <w:rsid w:val="00D267E9"/>
    <w:rsid w:val="00D27A7D"/>
    <w:rsid w:val="00D31733"/>
    <w:rsid w:val="00D32D4C"/>
    <w:rsid w:val="00D32E67"/>
    <w:rsid w:val="00D32FE5"/>
    <w:rsid w:val="00D3447F"/>
    <w:rsid w:val="00D34CD1"/>
    <w:rsid w:val="00D36305"/>
    <w:rsid w:val="00D37115"/>
    <w:rsid w:val="00D41D53"/>
    <w:rsid w:val="00D4465D"/>
    <w:rsid w:val="00D44BDF"/>
    <w:rsid w:val="00D44D44"/>
    <w:rsid w:val="00D44ECE"/>
    <w:rsid w:val="00D4511C"/>
    <w:rsid w:val="00D45C65"/>
    <w:rsid w:val="00D45D03"/>
    <w:rsid w:val="00D45D35"/>
    <w:rsid w:val="00D464F4"/>
    <w:rsid w:val="00D4716F"/>
    <w:rsid w:val="00D5232F"/>
    <w:rsid w:val="00D54046"/>
    <w:rsid w:val="00D5412A"/>
    <w:rsid w:val="00D55281"/>
    <w:rsid w:val="00D55919"/>
    <w:rsid w:val="00D56C99"/>
    <w:rsid w:val="00D60427"/>
    <w:rsid w:val="00D61077"/>
    <w:rsid w:val="00D62FC2"/>
    <w:rsid w:val="00D647D4"/>
    <w:rsid w:val="00D648BA"/>
    <w:rsid w:val="00D70248"/>
    <w:rsid w:val="00D70251"/>
    <w:rsid w:val="00D71545"/>
    <w:rsid w:val="00D72484"/>
    <w:rsid w:val="00D740C4"/>
    <w:rsid w:val="00D74868"/>
    <w:rsid w:val="00D761C2"/>
    <w:rsid w:val="00D76D65"/>
    <w:rsid w:val="00D76FD3"/>
    <w:rsid w:val="00D81098"/>
    <w:rsid w:val="00D81935"/>
    <w:rsid w:val="00D81AA6"/>
    <w:rsid w:val="00D8350A"/>
    <w:rsid w:val="00D835FF"/>
    <w:rsid w:val="00D848E5"/>
    <w:rsid w:val="00D91CDB"/>
    <w:rsid w:val="00D926F7"/>
    <w:rsid w:val="00D9285E"/>
    <w:rsid w:val="00D93056"/>
    <w:rsid w:val="00D93869"/>
    <w:rsid w:val="00D945FA"/>
    <w:rsid w:val="00D9610D"/>
    <w:rsid w:val="00D9620B"/>
    <w:rsid w:val="00D97AF1"/>
    <w:rsid w:val="00DA0A53"/>
    <w:rsid w:val="00DA1432"/>
    <w:rsid w:val="00DA14A3"/>
    <w:rsid w:val="00DA16E8"/>
    <w:rsid w:val="00DA1DDF"/>
    <w:rsid w:val="00DA29ED"/>
    <w:rsid w:val="00DA36A5"/>
    <w:rsid w:val="00DA37B8"/>
    <w:rsid w:val="00DA40C8"/>
    <w:rsid w:val="00DA631C"/>
    <w:rsid w:val="00DA6A20"/>
    <w:rsid w:val="00DA798C"/>
    <w:rsid w:val="00DA79E2"/>
    <w:rsid w:val="00DA7D37"/>
    <w:rsid w:val="00DB1578"/>
    <w:rsid w:val="00DB2E78"/>
    <w:rsid w:val="00DB39DE"/>
    <w:rsid w:val="00DB3CEF"/>
    <w:rsid w:val="00DB407A"/>
    <w:rsid w:val="00DB4898"/>
    <w:rsid w:val="00DB51D3"/>
    <w:rsid w:val="00DB5420"/>
    <w:rsid w:val="00DB5522"/>
    <w:rsid w:val="00DB7C94"/>
    <w:rsid w:val="00DC29B3"/>
    <w:rsid w:val="00DC2DB2"/>
    <w:rsid w:val="00DC3736"/>
    <w:rsid w:val="00DC3A87"/>
    <w:rsid w:val="00DC3ACD"/>
    <w:rsid w:val="00DC3C8C"/>
    <w:rsid w:val="00DC5EA9"/>
    <w:rsid w:val="00DC64C5"/>
    <w:rsid w:val="00DC6581"/>
    <w:rsid w:val="00DC74F8"/>
    <w:rsid w:val="00DD0C4A"/>
    <w:rsid w:val="00DD1349"/>
    <w:rsid w:val="00DD1808"/>
    <w:rsid w:val="00DD1B1F"/>
    <w:rsid w:val="00DD2434"/>
    <w:rsid w:val="00DD3CE1"/>
    <w:rsid w:val="00DD3FBC"/>
    <w:rsid w:val="00DD524F"/>
    <w:rsid w:val="00DD64B1"/>
    <w:rsid w:val="00DD6CE8"/>
    <w:rsid w:val="00DD742B"/>
    <w:rsid w:val="00DD7468"/>
    <w:rsid w:val="00DE203B"/>
    <w:rsid w:val="00DE2B8D"/>
    <w:rsid w:val="00DE2D88"/>
    <w:rsid w:val="00DE4079"/>
    <w:rsid w:val="00DE4C57"/>
    <w:rsid w:val="00DE4F05"/>
    <w:rsid w:val="00DE534A"/>
    <w:rsid w:val="00DE67DA"/>
    <w:rsid w:val="00DF03FB"/>
    <w:rsid w:val="00DF1798"/>
    <w:rsid w:val="00DF2519"/>
    <w:rsid w:val="00DF368B"/>
    <w:rsid w:val="00DF41FC"/>
    <w:rsid w:val="00DF5F01"/>
    <w:rsid w:val="00DF71EE"/>
    <w:rsid w:val="00DF7D23"/>
    <w:rsid w:val="00E007BA"/>
    <w:rsid w:val="00E01ED5"/>
    <w:rsid w:val="00E01FC5"/>
    <w:rsid w:val="00E02A90"/>
    <w:rsid w:val="00E03105"/>
    <w:rsid w:val="00E03AA0"/>
    <w:rsid w:val="00E0402D"/>
    <w:rsid w:val="00E04FF0"/>
    <w:rsid w:val="00E050FB"/>
    <w:rsid w:val="00E06BE7"/>
    <w:rsid w:val="00E1005C"/>
    <w:rsid w:val="00E12326"/>
    <w:rsid w:val="00E15067"/>
    <w:rsid w:val="00E16733"/>
    <w:rsid w:val="00E17916"/>
    <w:rsid w:val="00E20B11"/>
    <w:rsid w:val="00E21C6D"/>
    <w:rsid w:val="00E22550"/>
    <w:rsid w:val="00E229A7"/>
    <w:rsid w:val="00E22AAE"/>
    <w:rsid w:val="00E22B82"/>
    <w:rsid w:val="00E23112"/>
    <w:rsid w:val="00E244C4"/>
    <w:rsid w:val="00E246D7"/>
    <w:rsid w:val="00E2521D"/>
    <w:rsid w:val="00E25B4D"/>
    <w:rsid w:val="00E26796"/>
    <w:rsid w:val="00E26C9C"/>
    <w:rsid w:val="00E27599"/>
    <w:rsid w:val="00E3028E"/>
    <w:rsid w:val="00E311AF"/>
    <w:rsid w:val="00E31EE2"/>
    <w:rsid w:val="00E32E24"/>
    <w:rsid w:val="00E33897"/>
    <w:rsid w:val="00E33D31"/>
    <w:rsid w:val="00E40E1C"/>
    <w:rsid w:val="00E416D3"/>
    <w:rsid w:val="00E419ED"/>
    <w:rsid w:val="00E429DD"/>
    <w:rsid w:val="00E43066"/>
    <w:rsid w:val="00E44658"/>
    <w:rsid w:val="00E44C47"/>
    <w:rsid w:val="00E457BF"/>
    <w:rsid w:val="00E459C5"/>
    <w:rsid w:val="00E4651C"/>
    <w:rsid w:val="00E46D92"/>
    <w:rsid w:val="00E51876"/>
    <w:rsid w:val="00E52354"/>
    <w:rsid w:val="00E52532"/>
    <w:rsid w:val="00E534B8"/>
    <w:rsid w:val="00E53603"/>
    <w:rsid w:val="00E538D5"/>
    <w:rsid w:val="00E5484D"/>
    <w:rsid w:val="00E54B56"/>
    <w:rsid w:val="00E55CAC"/>
    <w:rsid w:val="00E56C38"/>
    <w:rsid w:val="00E60855"/>
    <w:rsid w:val="00E60BE8"/>
    <w:rsid w:val="00E60CC8"/>
    <w:rsid w:val="00E611F7"/>
    <w:rsid w:val="00E6148A"/>
    <w:rsid w:val="00E62603"/>
    <w:rsid w:val="00E637E6"/>
    <w:rsid w:val="00E650C6"/>
    <w:rsid w:val="00E66512"/>
    <w:rsid w:val="00E6670B"/>
    <w:rsid w:val="00E70F38"/>
    <w:rsid w:val="00E710EC"/>
    <w:rsid w:val="00E7176F"/>
    <w:rsid w:val="00E73A64"/>
    <w:rsid w:val="00E73C9B"/>
    <w:rsid w:val="00E74141"/>
    <w:rsid w:val="00E7468F"/>
    <w:rsid w:val="00E746F0"/>
    <w:rsid w:val="00E7778C"/>
    <w:rsid w:val="00E80CCD"/>
    <w:rsid w:val="00E8225A"/>
    <w:rsid w:val="00E83020"/>
    <w:rsid w:val="00E835FA"/>
    <w:rsid w:val="00E84016"/>
    <w:rsid w:val="00E849CF"/>
    <w:rsid w:val="00E877AE"/>
    <w:rsid w:val="00E87960"/>
    <w:rsid w:val="00E903BB"/>
    <w:rsid w:val="00E90449"/>
    <w:rsid w:val="00E9057C"/>
    <w:rsid w:val="00E90939"/>
    <w:rsid w:val="00E90BDB"/>
    <w:rsid w:val="00E91703"/>
    <w:rsid w:val="00E9211B"/>
    <w:rsid w:val="00E9215D"/>
    <w:rsid w:val="00E93FEC"/>
    <w:rsid w:val="00E95433"/>
    <w:rsid w:val="00E95BDE"/>
    <w:rsid w:val="00E95BF7"/>
    <w:rsid w:val="00E9767D"/>
    <w:rsid w:val="00EA2145"/>
    <w:rsid w:val="00EA36B7"/>
    <w:rsid w:val="00EA439D"/>
    <w:rsid w:val="00EA4541"/>
    <w:rsid w:val="00EA566B"/>
    <w:rsid w:val="00EA6443"/>
    <w:rsid w:val="00EA774D"/>
    <w:rsid w:val="00EA7DF6"/>
    <w:rsid w:val="00EB34DC"/>
    <w:rsid w:val="00EB4018"/>
    <w:rsid w:val="00EB4E80"/>
    <w:rsid w:val="00EB72C6"/>
    <w:rsid w:val="00EB76F5"/>
    <w:rsid w:val="00EC0C14"/>
    <w:rsid w:val="00EC1138"/>
    <w:rsid w:val="00EC2497"/>
    <w:rsid w:val="00EC44F3"/>
    <w:rsid w:val="00EC6642"/>
    <w:rsid w:val="00ED11BB"/>
    <w:rsid w:val="00ED1D94"/>
    <w:rsid w:val="00ED24B5"/>
    <w:rsid w:val="00ED35C7"/>
    <w:rsid w:val="00ED504C"/>
    <w:rsid w:val="00ED53D5"/>
    <w:rsid w:val="00ED555A"/>
    <w:rsid w:val="00ED55EF"/>
    <w:rsid w:val="00ED5E14"/>
    <w:rsid w:val="00ED6A7A"/>
    <w:rsid w:val="00ED6D1D"/>
    <w:rsid w:val="00ED7840"/>
    <w:rsid w:val="00EE0A7E"/>
    <w:rsid w:val="00EE0B17"/>
    <w:rsid w:val="00EE1607"/>
    <w:rsid w:val="00EE41DD"/>
    <w:rsid w:val="00EE6762"/>
    <w:rsid w:val="00EF00F5"/>
    <w:rsid w:val="00EF0750"/>
    <w:rsid w:val="00EF2466"/>
    <w:rsid w:val="00EF2A81"/>
    <w:rsid w:val="00EF3353"/>
    <w:rsid w:val="00EF3848"/>
    <w:rsid w:val="00EF3D60"/>
    <w:rsid w:val="00EF414A"/>
    <w:rsid w:val="00EF4251"/>
    <w:rsid w:val="00EF489A"/>
    <w:rsid w:val="00EF6129"/>
    <w:rsid w:val="00EF6C0B"/>
    <w:rsid w:val="00EF7218"/>
    <w:rsid w:val="00F0007A"/>
    <w:rsid w:val="00F00A8A"/>
    <w:rsid w:val="00F0185C"/>
    <w:rsid w:val="00F022DB"/>
    <w:rsid w:val="00F027DD"/>
    <w:rsid w:val="00F02C87"/>
    <w:rsid w:val="00F02ED6"/>
    <w:rsid w:val="00F06227"/>
    <w:rsid w:val="00F06436"/>
    <w:rsid w:val="00F077E8"/>
    <w:rsid w:val="00F104BD"/>
    <w:rsid w:val="00F1052D"/>
    <w:rsid w:val="00F11B7F"/>
    <w:rsid w:val="00F123C0"/>
    <w:rsid w:val="00F1270C"/>
    <w:rsid w:val="00F13E49"/>
    <w:rsid w:val="00F13EFF"/>
    <w:rsid w:val="00F13F53"/>
    <w:rsid w:val="00F14823"/>
    <w:rsid w:val="00F15867"/>
    <w:rsid w:val="00F15AE2"/>
    <w:rsid w:val="00F16647"/>
    <w:rsid w:val="00F16DB4"/>
    <w:rsid w:val="00F17F84"/>
    <w:rsid w:val="00F20166"/>
    <w:rsid w:val="00F20EF5"/>
    <w:rsid w:val="00F25A62"/>
    <w:rsid w:val="00F273F6"/>
    <w:rsid w:val="00F309B7"/>
    <w:rsid w:val="00F30CD3"/>
    <w:rsid w:val="00F310F6"/>
    <w:rsid w:val="00F33904"/>
    <w:rsid w:val="00F35BFC"/>
    <w:rsid w:val="00F367B0"/>
    <w:rsid w:val="00F37DA4"/>
    <w:rsid w:val="00F402D8"/>
    <w:rsid w:val="00F405BA"/>
    <w:rsid w:val="00F40F59"/>
    <w:rsid w:val="00F41505"/>
    <w:rsid w:val="00F41544"/>
    <w:rsid w:val="00F42B57"/>
    <w:rsid w:val="00F4380A"/>
    <w:rsid w:val="00F44499"/>
    <w:rsid w:val="00F44DDC"/>
    <w:rsid w:val="00F46815"/>
    <w:rsid w:val="00F4695D"/>
    <w:rsid w:val="00F47902"/>
    <w:rsid w:val="00F47CD7"/>
    <w:rsid w:val="00F47E58"/>
    <w:rsid w:val="00F50CEE"/>
    <w:rsid w:val="00F5120F"/>
    <w:rsid w:val="00F51289"/>
    <w:rsid w:val="00F51D7C"/>
    <w:rsid w:val="00F5400A"/>
    <w:rsid w:val="00F55530"/>
    <w:rsid w:val="00F5620A"/>
    <w:rsid w:val="00F56855"/>
    <w:rsid w:val="00F57532"/>
    <w:rsid w:val="00F57D5C"/>
    <w:rsid w:val="00F602D9"/>
    <w:rsid w:val="00F62015"/>
    <w:rsid w:val="00F62259"/>
    <w:rsid w:val="00F63815"/>
    <w:rsid w:val="00F63F3D"/>
    <w:rsid w:val="00F64785"/>
    <w:rsid w:val="00F66528"/>
    <w:rsid w:val="00F66DC5"/>
    <w:rsid w:val="00F700C9"/>
    <w:rsid w:val="00F70EFE"/>
    <w:rsid w:val="00F71283"/>
    <w:rsid w:val="00F7166B"/>
    <w:rsid w:val="00F71695"/>
    <w:rsid w:val="00F71950"/>
    <w:rsid w:val="00F72160"/>
    <w:rsid w:val="00F72263"/>
    <w:rsid w:val="00F72370"/>
    <w:rsid w:val="00F72386"/>
    <w:rsid w:val="00F72A9F"/>
    <w:rsid w:val="00F73762"/>
    <w:rsid w:val="00F73FB9"/>
    <w:rsid w:val="00F749B1"/>
    <w:rsid w:val="00F75832"/>
    <w:rsid w:val="00F760EB"/>
    <w:rsid w:val="00F80172"/>
    <w:rsid w:val="00F80217"/>
    <w:rsid w:val="00F80678"/>
    <w:rsid w:val="00F82BDE"/>
    <w:rsid w:val="00F8400C"/>
    <w:rsid w:val="00F845C3"/>
    <w:rsid w:val="00F85BAF"/>
    <w:rsid w:val="00F86A36"/>
    <w:rsid w:val="00F904A3"/>
    <w:rsid w:val="00F91628"/>
    <w:rsid w:val="00F91A58"/>
    <w:rsid w:val="00F92295"/>
    <w:rsid w:val="00F9347A"/>
    <w:rsid w:val="00F9371E"/>
    <w:rsid w:val="00F93E15"/>
    <w:rsid w:val="00F95414"/>
    <w:rsid w:val="00F96AB7"/>
    <w:rsid w:val="00F975E5"/>
    <w:rsid w:val="00FA0A40"/>
    <w:rsid w:val="00FA0C42"/>
    <w:rsid w:val="00FA1C2B"/>
    <w:rsid w:val="00FA202E"/>
    <w:rsid w:val="00FA23DE"/>
    <w:rsid w:val="00FA29CE"/>
    <w:rsid w:val="00FA2EAA"/>
    <w:rsid w:val="00FA3AF3"/>
    <w:rsid w:val="00FA5AE7"/>
    <w:rsid w:val="00FA6508"/>
    <w:rsid w:val="00FA7006"/>
    <w:rsid w:val="00FA7229"/>
    <w:rsid w:val="00FA7379"/>
    <w:rsid w:val="00FA7CF8"/>
    <w:rsid w:val="00FB07C4"/>
    <w:rsid w:val="00FB09D7"/>
    <w:rsid w:val="00FB11AF"/>
    <w:rsid w:val="00FB17D0"/>
    <w:rsid w:val="00FB24B6"/>
    <w:rsid w:val="00FB33D7"/>
    <w:rsid w:val="00FB435B"/>
    <w:rsid w:val="00FB45F2"/>
    <w:rsid w:val="00FB48B4"/>
    <w:rsid w:val="00FB5E35"/>
    <w:rsid w:val="00FB735E"/>
    <w:rsid w:val="00FC156F"/>
    <w:rsid w:val="00FC1E2B"/>
    <w:rsid w:val="00FC2EDE"/>
    <w:rsid w:val="00FC4BB9"/>
    <w:rsid w:val="00FC6115"/>
    <w:rsid w:val="00FC623F"/>
    <w:rsid w:val="00FC62E7"/>
    <w:rsid w:val="00FC660C"/>
    <w:rsid w:val="00FC6969"/>
    <w:rsid w:val="00FC6B89"/>
    <w:rsid w:val="00FD04A8"/>
    <w:rsid w:val="00FD09D6"/>
    <w:rsid w:val="00FD0FD5"/>
    <w:rsid w:val="00FD130B"/>
    <w:rsid w:val="00FD1A1B"/>
    <w:rsid w:val="00FD35BE"/>
    <w:rsid w:val="00FD3BA6"/>
    <w:rsid w:val="00FD3FD7"/>
    <w:rsid w:val="00FD417F"/>
    <w:rsid w:val="00FD4E99"/>
    <w:rsid w:val="00FD5643"/>
    <w:rsid w:val="00FD5EC6"/>
    <w:rsid w:val="00FE02D9"/>
    <w:rsid w:val="00FE1411"/>
    <w:rsid w:val="00FE19FA"/>
    <w:rsid w:val="00FE1BA8"/>
    <w:rsid w:val="00FE2F3D"/>
    <w:rsid w:val="00FE41A3"/>
    <w:rsid w:val="00FE47DF"/>
    <w:rsid w:val="00FE5921"/>
    <w:rsid w:val="00FE6E7A"/>
    <w:rsid w:val="00FE72DF"/>
    <w:rsid w:val="00FF18EA"/>
    <w:rsid w:val="00FF1C33"/>
    <w:rsid w:val="00FF213D"/>
    <w:rsid w:val="00FF2ABB"/>
    <w:rsid w:val="00FF4816"/>
    <w:rsid w:val="00FF51A9"/>
    <w:rsid w:val="00FF5530"/>
    <w:rsid w:val="00FF6707"/>
    <w:rsid w:val="00FF6902"/>
    <w:rsid w:val="00FF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13"/>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13"/>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5">
      <w:bodyDiv w:val="1"/>
      <w:marLeft w:val="0"/>
      <w:marRight w:val="0"/>
      <w:marTop w:val="0"/>
      <w:marBottom w:val="0"/>
      <w:divBdr>
        <w:top w:val="none" w:sz="0" w:space="0" w:color="auto"/>
        <w:left w:val="none" w:sz="0" w:space="0" w:color="auto"/>
        <w:bottom w:val="none" w:sz="0" w:space="0" w:color="auto"/>
        <w:right w:val="none" w:sz="0" w:space="0" w:color="auto"/>
      </w:divBdr>
    </w:div>
    <w:div w:id="19166907">
      <w:bodyDiv w:val="1"/>
      <w:marLeft w:val="0"/>
      <w:marRight w:val="0"/>
      <w:marTop w:val="0"/>
      <w:marBottom w:val="0"/>
      <w:divBdr>
        <w:top w:val="none" w:sz="0" w:space="0" w:color="auto"/>
        <w:left w:val="none" w:sz="0" w:space="0" w:color="auto"/>
        <w:bottom w:val="none" w:sz="0" w:space="0" w:color="auto"/>
        <w:right w:val="none" w:sz="0" w:space="0" w:color="auto"/>
      </w:divBdr>
    </w:div>
    <w:div w:id="30999218">
      <w:bodyDiv w:val="1"/>
      <w:marLeft w:val="0"/>
      <w:marRight w:val="0"/>
      <w:marTop w:val="0"/>
      <w:marBottom w:val="0"/>
      <w:divBdr>
        <w:top w:val="none" w:sz="0" w:space="0" w:color="auto"/>
        <w:left w:val="none" w:sz="0" w:space="0" w:color="auto"/>
        <w:bottom w:val="none" w:sz="0" w:space="0" w:color="auto"/>
        <w:right w:val="none" w:sz="0" w:space="0" w:color="auto"/>
      </w:divBdr>
    </w:div>
    <w:div w:id="41054459">
      <w:bodyDiv w:val="1"/>
      <w:marLeft w:val="0"/>
      <w:marRight w:val="0"/>
      <w:marTop w:val="0"/>
      <w:marBottom w:val="0"/>
      <w:divBdr>
        <w:top w:val="none" w:sz="0" w:space="0" w:color="auto"/>
        <w:left w:val="none" w:sz="0" w:space="0" w:color="auto"/>
        <w:bottom w:val="none" w:sz="0" w:space="0" w:color="auto"/>
        <w:right w:val="none" w:sz="0" w:space="0" w:color="auto"/>
      </w:divBdr>
    </w:div>
    <w:div w:id="86125114">
      <w:bodyDiv w:val="1"/>
      <w:marLeft w:val="0"/>
      <w:marRight w:val="0"/>
      <w:marTop w:val="0"/>
      <w:marBottom w:val="0"/>
      <w:divBdr>
        <w:top w:val="none" w:sz="0" w:space="0" w:color="auto"/>
        <w:left w:val="none" w:sz="0" w:space="0" w:color="auto"/>
        <w:bottom w:val="none" w:sz="0" w:space="0" w:color="auto"/>
        <w:right w:val="none" w:sz="0" w:space="0" w:color="auto"/>
      </w:divBdr>
    </w:div>
    <w:div w:id="116918448">
      <w:bodyDiv w:val="1"/>
      <w:marLeft w:val="0"/>
      <w:marRight w:val="0"/>
      <w:marTop w:val="0"/>
      <w:marBottom w:val="0"/>
      <w:divBdr>
        <w:top w:val="none" w:sz="0" w:space="0" w:color="auto"/>
        <w:left w:val="none" w:sz="0" w:space="0" w:color="auto"/>
        <w:bottom w:val="none" w:sz="0" w:space="0" w:color="auto"/>
        <w:right w:val="none" w:sz="0" w:space="0" w:color="auto"/>
      </w:divBdr>
    </w:div>
    <w:div w:id="117843390">
      <w:bodyDiv w:val="1"/>
      <w:marLeft w:val="0"/>
      <w:marRight w:val="0"/>
      <w:marTop w:val="0"/>
      <w:marBottom w:val="0"/>
      <w:divBdr>
        <w:top w:val="none" w:sz="0" w:space="0" w:color="auto"/>
        <w:left w:val="none" w:sz="0" w:space="0" w:color="auto"/>
        <w:bottom w:val="none" w:sz="0" w:space="0" w:color="auto"/>
        <w:right w:val="none" w:sz="0" w:space="0" w:color="auto"/>
      </w:divBdr>
    </w:div>
    <w:div w:id="147871090">
      <w:bodyDiv w:val="1"/>
      <w:marLeft w:val="0"/>
      <w:marRight w:val="0"/>
      <w:marTop w:val="0"/>
      <w:marBottom w:val="0"/>
      <w:divBdr>
        <w:top w:val="none" w:sz="0" w:space="0" w:color="auto"/>
        <w:left w:val="none" w:sz="0" w:space="0" w:color="auto"/>
        <w:bottom w:val="none" w:sz="0" w:space="0" w:color="auto"/>
        <w:right w:val="none" w:sz="0" w:space="0" w:color="auto"/>
      </w:divBdr>
    </w:div>
    <w:div w:id="187530745">
      <w:bodyDiv w:val="1"/>
      <w:marLeft w:val="0"/>
      <w:marRight w:val="0"/>
      <w:marTop w:val="0"/>
      <w:marBottom w:val="0"/>
      <w:divBdr>
        <w:top w:val="none" w:sz="0" w:space="0" w:color="auto"/>
        <w:left w:val="none" w:sz="0" w:space="0" w:color="auto"/>
        <w:bottom w:val="none" w:sz="0" w:space="0" w:color="auto"/>
        <w:right w:val="none" w:sz="0" w:space="0" w:color="auto"/>
      </w:divBdr>
    </w:div>
    <w:div w:id="203687306">
      <w:bodyDiv w:val="1"/>
      <w:marLeft w:val="0"/>
      <w:marRight w:val="0"/>
      <w:marTop w:val="0"/>
      <w:marBottom w:val="0"/>
      <w:divBdr>
        <w:top w:val="none" w:sz="0" w:space="0" w:color="auto"/>
        <w:left w:val="none" w:sz="0" w:space="0" w:color="auto"/>
        <w:bottom w:val="none" w:sz="0" w:space="0" w:color="auto"/>
        <w:right w:val="none" w:sz="0" w:space="0" w:color="auto"/>
      </w:divBdr>
    </w:div>
    <w:div w:id="210263273">
      <w:bodyDiv w:val="1"/>
      <w:marLeft w:val="0"/>
      <w:marRight w:val="0"/>
      <w:marTop w:val="0"/>
      <w:marBottom w:val="0"/>
      <w:divBdr>
        <w:top w:val="none" w:sz="0" w:space="0" w:color="auto"/>
        <w:left w:val="none" w:sz="0" w:space="0" w:color="auto"/>
        <w:bottom w:val="none" w:sz="0" w:space="0" w:color="auto"/>
        <w:right w:val="none" w:sz="0" w:space="0" w:color="auto"/>
      </w:divBdr>
    </w:div>
    <w:div w:id="223807317">
      <w:bodyDiv w:val="1"/>
      <w:marLeft w:val="0"/>
      <w:marRight w:val="0"/>
      <w:marTop w:val="0"/>
      <w:marBottom w:val="0"/>
      <w:divBdr>
        <w:top w:val="none" w:sz="0" w:space="0" w:color="auto"/>
        <w:left w:val="none" w:sz="0" w:space="0" w:color="auto"/>
        <w:bottom w:val="none" w:sz="0" w:space="0" w:color="auto"/>
        <w:right w:val="none" w:sz="0" w:space="0" w:color="auto"/>
      </w:divBdr>
    </w:div>
    <w:div w:id="229316418">
      <w:bodyDiv w:val="1"/>
      <w:marLeft w:val="0"/>
      <w:marRight w:val="0"/>
      <w:marTop w:val="0"/>
      <w:marBottom w:val="0"/>
      <w:divBdr>
        <w:top w:val="none" w:sz="0" w:space="0" w:color="auto"/>
        <w:left w:val="none" w:sz="0" w:space="0" w:color="auto"/>
        <w:bottom w:val="none" w:sz="0" w:space="0" w:color="auto"/>
        <w:right w:val="none" w:sz="0" w:space="0" w:color="auto"/>
      </w:divBdr>
    </w:div>
    <w:div w:id="232161101">
      <w:bodyDiv w:val="1"/>
      <w:marLeft w:val="0"/>
      <w:marRight w:val="0"/>
      <w:marTop w:val="0"/>
      <w:marBottom w:val="0"/>
      <w:divBdr>
        <w:top w:val="none" w:sz="0" w:space="0" w:color="auto"/>
        <w:left w:val="none" w:sz="0" w:space="0" w:color="auto"/>
        <w:bottom w:val="none" w:sz="0" w:space="0" w:color="auto"/>
        <w:right w:val="none" w:sz="0" w:space="0" w:color="auto"/>
      </w:divBdr>
    </w:div>
    <w:div w:id="241529603">
      <w:bodyDiv w:val="1"/>
      <w:marLeft w:val="0"/>
      <w:marRight w:val="0"/>
      <w:marTop w:val="0"/>
      <w:marBottom w:val="0"/>
      <w:divBdr>
        <w:top w:val="none" w:sz="0" w:space="0" w:color="auto"/>
        <w:left w:val="none" w:sz="0" w:space="0" w:color="auto"/>
        <w:bottom w:val="none" w:sz="0" w:space="0" w:color="auto"/>
        <w:right w:val="none" w:sz="0" w:space="0" w:color="auto"/>
      </w:divBdr>
    </w:div>
    <w:div w:id="280066281">
      <w:bodyDiv w:val="1"/>
      <w:marLeft w:val="0"/>
      <w:marRight w:val="0"/>
      <w:marTop w:val="0"/>
      <w:marBottom w:val="0"/>
      <w:divBdr>
        <w:top w:val="none" w:sz="0" w:space="0" w:color="auto"/>
        <w:left w:val="none" w:sz="0" w:space="0" w:color="auto"/>
        <w:bottom w:val="none" w:sz="0" w:space="0" w:color="auto"/>
        <w:right w:val="none" w:sz="0" w:space="0" w:color="auto"/>
      </w:divBdr>
    </w:div>
    <w:div w:id="287011045">
      <w:bodyDiv w:val="1"/>
      <w:marLeft w:val="0"/>
      <w:marRight w:val="0"/>
      <w:marTop w:val="0"/>
      <w:marBottom w:val="0"/>
      <w:divBdr>
        <w:top w:val="none" w:sz="0" w:space="0" w:color="auto"/>
        <w:left w:val="none" w:sz="0" w:space="0" w:color="auto"/>
        <w:bottom w:val="none" w:sz="0" w:space="0" w:color="auto"/>
        <w:right w:val="none" w:sz="0" w:space="0" w:color="auto"/>
      </w:divBdr>
    </w:div>
    <w:div w:id="303895745">
      <w:bodyDiv w:val="1"/>
      <w:marLeft w:val="0"/>
      <w:marRight w:val="0"/>
      <w:marTop w:val="0"/>
      <w:marBottom w:val="0"/>
      <w:divBdr>
        <w:top w:val="none" w:sz="0" w:space="0" w:color="auto"/>
        <w:left w:val="none" w:sz="0" w:space="0" w:color="auto"/>
        <w:bottom w:val="none" w:sz="0" w:space="0" w:color="auto"/>
        <w:right w:val="none" w:sz="0" w:space="0" w:color="auto"/>
      </w:divBdr>
    </w:div>
    <w:div w:id="310911759">
      <w:bodyDiv w:val="1"/>
      <w:marLeft w:val="0"/>
      <w:marRight w:val="0"/>
      <w:marTop w:val="0"/>
      <w:marBottom w:val="0"/>
      <w:divBdr>
        <w:top w:val="none" w:sz="0" w:space="0" w:color="auto"/>
        <w:left w:val="none" w:sz="0" w:space="0" w:color="auto"/>
        <w:bottom w:val="none" w:sz="0" w:space="0" w:color="auto"/>
        <w:right w:val="none" w:sz="0" w:space="0" w:color="auto"/>
      </w:divBdr>
    </w:div>
    <w:div w:id="348988610">
      <w:bodyDiv w:val="1"/>
      <w:marLeft w:val="0"/>
      <w:marRight w:val="0"/>
      <w:marTop w:val="0"/>
      <w:marBottom w:val="0"/>
      <w:divBdr>
        <w:top w:val="none" w:sz="0" w:space="0" w:color="auto"/>
        <w:left w:val="none" w:sz="0" w:space="0" w:color="auto"/>
        <w:bottom w:val="none" w:sz="0" w:space="0" w:color="auto"/>
        <w:right w:val="none" w:sz="0" w:space="0" w:color="auto"/>
      </w:divBdr>
    </w:div>
    <w:div w:id="350879849">
      <w:bodyDiv w:val="1"/>
      <w:marLeft w:val="0"/>
      <w:marRight w:val="0"/>
      <w:marTop w:val="0"/>
      <w:marBottom w:val="0"/>
      <w:divBdr>
        <w:top w:val="none" w:sz="0" w:space="0" w:color="auto"/>
        <w:left w:val="none" w:sz="0" w:space="0" w:color="auto"/>
        <w:bottom w:val="none" w:sz="0" w:space="0" w:color="auto"/>
        <w:right w:val="none" w:sz="0" w:space="0" w:color="auto"/>
      </w:divBdr>
    </w:div>
    <w:div w:id="356587582">
      <w:bodyDiv w:val="1"/>
      <w:marLeft w:val="0"/>
      <w:marRight w:val="0"/>
      <w:marTop w:val="0"/>
      <w:marBottom w:val="0"/>
      <w:divBdr>
        <w:top w:val="none" w:sz="0" w:space="0" w:color="auto"/>
        <w:left w:val="none" w:sz="0" w:space="0" w:color="auto"/>
        <w:bottom w:val="none" w:sz="0" w:space="0" w:color="auto"/>
        <w:right w:val="none" w:sz="0" w:space="0" w:color="auto"/>
      </w:divBdr>
    </w:div>
    <w:div w:id="375197612">
      <w:bodyDiv w:val="1"/>
      <w:marLeft w:val="0"/>
      <w:marRight w:val="0"/>
      <w:marTop w:val="0"/>
      <w:marBottom w:val="0"/>
      <w:divBdr>
        <w:top w:val="none" w:sz="0" w:space="0" w:color="auto"/>
        <w:left w:val="none" w:sz="0" w:space="0" w:color="auto"/>
        <w:bottom w:val="none" w:sz="0" w:space="0" w:color="auto"/>
        <w:right w:val="none" w:sz="0" w:space="0" w:color="auto"/>
      </w:divBdr>
    </w:div>
    <w:div w:id="394357503">
      <w:bodyDiv w:val="1"/>
      <w:marLeft w:val="0"/>
      <w:marRight w:val="0"/>
      <w:marTop w:val="0"/>
      <w:marBottom w:val="0"/>
      <w:divBdr>
        <w:top w:val="none" w:sz="0" w:space="0" w:color="auto"/>
        <w:left w:val="none" w:sz="0" w:space="0" w:color="auto"/>
        <w:bottom w:val="none" w:sz="0" w:space="0" w:color="auto"/>
        <w:right w:val="none" w:sz="0" w:space="0" w:color="auto"/>
      </w:divBdr>
    </w:div>
    <w:div w:id="406464269">
      <w:bodyDiv w:val="1"/>
      <w:marLeft w:val="0"/>
      <w:marRight w:val="0"/>
      <w:marTop w:val="0"/>
      <w:marBottom w:val="0"/>
      <w:divBdr>
        <w:top w:val="none" w:sz="0" w:space="0" w:color="auto"/>
        <w:left w:val="none" w:sz="0" w:space="0" w:color="auto"/>
        <w:bottom w:val="none" w:sz="0" w:space="0" w:color="auto"/>
        <w:right w:val="none" w:sz="0" w:space="0" w:color="auto"/>
      </w:divBdr>
    </w:div>
    <w:div w:id="417749915">
      <w:bodyDiv w:val="1"/>
      <w:marLeft w:val="0"/>
      <w:marRight w:val="0"/>
      <w:marTop w:val="0"/>
      <w:marBottom w:val="0"/>
      <w:divBdr>
        <w:top w:val="none" w:sz="0" w:space="0" w:color="auto"/>
        <w:left w:val="none" w:sz="0" w:space="0" w:color="auto"/>
        <w:bottom w:val="none" w:sz="0" w:space="0" w:color="auto"/>
        <w:right w:val="none" w:sz="0" w:space="0" w:color="auto"/>
      </w:divBdr>
    </w:div>
    <w:div w:id="442072616">
      <w:bodyDiv w:val="1"/>
      <w:marLeft w:val="0"/>
      <w:marRight w:val="0"/>
      <w:marTop w:val="0"/>
      <w:marBottom w:val="0"/>
      <w:divBdr>
        <w:top w:val="none" w:sz="0" w:space="0" w:color="auto"/>
        <w:left w:val="none" w:sz="0" w:space="0" w:color="auto"/>
        <w:bottom w:val="none" w:sz="0" w:space="0" w:color="auto"/>
        <w:right w:val="none" w:sz="0" w:space="0" w:color="auto"/>
      </w:divBdr>
    </w:div>
    <w:div w:id="451675438">
      <w:bodyDiv w:val="1"/>
      <w:marLeft w:val="0"/>
      <w:marRight w:val="0"/>
      <w:marTop w:val="0"/>
      <w:marBottom w:val="0"/>
      <w:divBdr>
        <w:top w:val="none" w:sz="0" w:space="0" w:color="auto"/>
        <w:left w:val="none" w:sz="0" w:space="0" w:color="auto"/>
        <w:bottom w:val="none" w:sz="0" w:space="0" w:color="auto"/>
        <w:right w:val="none" w:sz="0" w:space="0" w:color="auto"/>
      </w:divBdr>
    </w:div>
    <w:div w:id="452360426">
      <w:bodyDiv w:val="1"/>
      <w:marLeft w:val="0"/>
      <w:marRight w:val="0"/>
      <w:marTop w:val="0"/>
      <w:marBottom w:val="0"/>
      <w:divBdr>
        <w:top w:val="none" w:sz="0" w:space="0" w:color="auto"/>
        <w:left w:val="none" w:sz="0" w:space="0" w:color="auto"/>
        <w:bottom w:val="none" w:sz="0" w:space="0" w:color="auto"/>
        <w:right w:val="none" w:sz="0" w:space="0" w:color="auto"/>
      </w:divBdr>
    </w:div>
    <w:div w:id="544759109">
      <w:bodyDiv w:val="1"/>
      <w:marLeft w:val="0"/>
      <w:marRight w:val="0"/>
      <w:marTop w:val="0"/>
      <w:marBottom w:val="0"/>
      <w:divBdr>
        <w:top w:val="none" w:sz="0" w:space="0" w:color="auto"/>
        <w:left w:val="none" w:sz="0" w:space="0" w:color="auto"/>
        <w:bottom w:val="none" w:sz="0" w:space="0" w:color="auto"/>
        <w:right w:val="none" w:sz="0" w:space="0" w:color="auto"/>
      </w:divBdr>
    </w:div>
    <w:div w:id="562178319">
      <w:bodyDiv w:val="1"/>
      <w:marLeft w:val="0"/>
      <w:marRight w:val="0"/>
      <w:marTop w:val="0"/>
      <w:marBottom w:val="0"/>
      <w:divBdr>
        <w:top w:val="none" w:sz="0" w:space="0" w:color="auto"/>
        <w:left w:val="none" w:sz="0" w:space="0" w:color="auto"/>
        <w:bottom w:val="none" w:sz="0" w:space="0" w:color="auto"/>
        <w:right w:val="none" w:sz="0" w:space="0" w:color="auto"/>
      </w:divBdr>
    </w:div>
    <w:div w:id="583074398">
      <w:bodyDiv w:val="1"/>
      <w:marLeft w:val="0"/>
      <w:marRight w:val="0"/>
      <w:marTop w:val="0"/>
      <w:marBottom w:val="0"/>
      <w:divBdr>
        <w:top w:val="none" w:sz="0" w:space="0" w:color="auto"/>
        <w:left w:val="none" w:sz="0" w:space="0" w:color="auto"/>
        <w:bottom w:val="none" w:sz="0" w:space="0" w:color="auto"/>
        <w:right w:val="none" w:sz="0" w:space="0" w:color="auto"/>
      </w:divBdr>
    </w:div>
    <w:div w:id="587540710">
      <w:bodyDiv w:val="1"/>
      <w:marLeft w:val="0"/>
      <w:marRight w:val="0"/>
      <w:marTop w:val="0"/>
      <w:marBottom w:val="0"/>
      <w:divBdr>
        <w:top w:val="none" w:sz="0" w:space="0" w:color="auto"/>
        <w:left w:val="none" w:sz="0" w:space="0" w:color="auto"/>
        <w:bottom w:val="none" w:sz="0" w:space="0" w:color="auto"/>
        <w:right w:val="none" w:sz="0" w:space="0" w:color="auto"/>
      </w:divBdr>
    </w:div>
    <w:div w:id="594284968">
      <w:bodyDiv w:val="1"/>
      <w:marLeft w:val="0"/>
      <w:marRight w:val="0"/>
      <w:marTop w:val="0"/>
      <w:marBottom w:val="0"/>
      <w:divBdr>
        <w:top w:val="none" w:sz="0" w:space="0" w:color="auto"/>
        <w:left w:val="none" w:sz="0" w:space="0" w:color="auto"/>
        <w:bottom w:val="none" w:sz="0" w:space="0" w:color="auto"/>
        <w:right w:val="none" w:sz="0" w:space="0" w:color="auto"/>
      </w:divBdr>
    </w:div>
    <w:div w:id="623392784">
      <w:bodyDiv w:val="1"/>
      <w:marLeft w:val="0"/>
      <w:marRight w:val="0"/>
      <w:marTop w:val="0"/>
      <w:marBottom w:val="0"/>
      <w:divBdr>
        <w:top w:val="none" w:sz="0" w:space="0" w:color="auto"/>
        <w:left w:val="none" w:sz="0" w:space="0" w:color="auto"/>
        <w:bottom w:val="none" w:sz="0" w:space="0" w:color="auto"/>
        <w:right w:val="none" w:sz="0" w:space="0" w:color="auto"/>
      </w:divBdr>
    </w:div>
    <w:div w:id="623586074">
      <w:bodyDiv w:val="1"/>
      <w:marLeft w:val="0"/>
      <w:marRight w:val="0"/>
      <w:marTop w:val="0"/>
      <w:marBottom w:val="0"/>
      <w:divBdr>
        <w:top w:val="none" w:sz="0" w:space="0" w:color="auto"/>
        <w:left w:val="none" w:sz="0" w:space="0" w:color="auto"/>
        <w:bottom w:val="none" w:sz="0" w:space="0" w:color="auto"/>
        <w:right w:val="none" w:sz="0" w:space="0" w:color="auto"/>
      </w:divBdr>
    </w:div>
    <w:div w:id="628709426">
      <w:bodyDiv w:val="1"/>
      <w:marLeft w:val="0"/>
      <w:marRight w:val="0"/>
      <w:marTop w:val="0"/>
      <w:marBottom w:val="0"/>
      <w:divBdr>
        <w:top w:val="none" w:sz="0" w:space="0" w:color="auto"/>
        <w:left w:val="none" w:sz="0" w:space="0" w:color="auto"/>
        <w:bottom w:val="none" w:sz="0" w:space="0" w:color="auto"/>
        <w:right w:val="none" w:sz="0" w:space="0" w:color="auto"/>
      </w:divBdr>
    </w:div>
    <w:div w:id="658509534">
      <w:bodyDiv w:val="1"/>
      <w:marLeft w:val="0"/>
      <w:marRight w:val="0"/>
      <w:marTop w:val="0"/>
      <w:marBottom w:val="0"/>
      <w:divBdr>
        <w:top w:val="none" w:sz="0" w:space="0" w:color="auto"/>
        <w:left w:val="none" w:sz="0" w:space="0" w:color="auto"/>
        <w:bottom w:val="none" w:sz="0" w:space="0" w:color="auto"/>
        <w:right w:val="none" w:sz="0" w:space="0" w:color="auto"/>
      </w:divBdr>
    </w:div>
    <w:div w:id="675421216">
      <w:bodyDiv w:val="1"/>
      <w:marLeft w:val="0"/>
      <w:marRight w:val="0"/>
      <w:marTop w:val="0"/>
      <w:marBottom w:val="0"/>
      <w:divBdr>
        <w:top w:val="none" w:sz="0" w:space="0" w:color="auto"/>
        <w:left w:val="none" w:sz="0" w:space="0" w:color="auto"/>
        <w:bottom w:val="none" w:sz="0" w:space="0" w:color="auto"/>
        <w:right w:val="none" w:sz="0" w:space="0" w:color="auto"/>
      </w:divBdr>
    </w:div>
    <w:div w:id="684669562">
      <w:bodyDiv w:val="1"/>
      <w:marLeft w:val="0"/>
      <w:marRight w:val="0"/>
      <w:marTop w:val="0"/>
      <w:marBottom w:val="0"/>
      <w:divBdr>
        <w:top w:val="none" w:sz="0" w:space="0" w:color="auto"/>
        <w:left w:val="none" w:sz="0" w:space="0" w:color="auto"/>
        <w:bottom w:val="none" w:sz="0" w:space="0" w:color="auto"/>
        <w:right w:val="none" w:sz="0" w:space="0" w:color="auto"/>
      </w:divBdr>
    </w:div>
    <w:div w:id="760612165">
      <w:bodyDiv w:val="1"/>
      <w:marLeft w:val="0"/>
      <w:marRight w:val="0"/>
      <w:marTop w:val="0"/>
      <w:marBottom w:val="0"/>
      <w:divBdr>
        <w:top w:val="none" w:sz="0" w:space="0" w:color="auto"/>
        <w:left w:val="none" w:sz="0" w:space="0" w:color="auto"/>
        <w:bottom w:val="none" w:sz="0" w:space="0" w:color="auto"/>
        <w:right w:val="none" w:sz="0" w:space="0" w:color="auto"/>
      </w:divBdr>
    </w:div>
    <w:div w:id="762646384">
      <w:bodyDiv w:val="1"/>
      <w:marLeft w:val="0"/>
      <w:marRight w:val="0"/>
      <w:marTop w:val="0"/>
      <w:marBottom w:val="0"/>
      <w:divBdr>
        <w:top w:val="none" w:sz="0" w:space="0" w:color="auto"/>
        <w:left w:val="none" w:sz="0" w:space="0" w:color="auto"/>
        <w:bottom w:val="none" w:sz="0" w:space="0" w:color="auto"/>
        <w:right w:val="none" w:sz="0" w:space="0" w:color="auto"/>
      </w:divBdr>
    </w:div>
    <w:div w:id="775903996">
      <w:bodyDiv w:val="1"/>
      <w:marLeft w:val="0"/>
      <w:marRight w:val="0"/>
      <w:marTop w:val="0"/>
      <w:marBottom w:val="0"/>
      <w:divBdr>
        <w:top w:val="none" w:sz="0" w:space="0" w:color="auto"/>
        <w:left w:val="none" w:sz="0" w:space="0" w:color="auto"/>
        <w:bottom w:val="none" w:sz="0" w:space="0" w:color="auto"/>
        <w:right w:val="none" w:sz="0" w:space="0" w:color="auto"/>
      </w:divBdr>
    </w:div>
    <w:div w:id="805395866">
      <w:bodyDiv w:val="1"/>
      <w:marLeft w:val="0"/>
      <w:marRight w:val="0"/>
      <w:marTop w:val="0"/>
      <w:marBottom w:val="0"/>
      <w:divBdr>
        <w:top w:val="none" w:sz="0" w:space="0" w:color="auto"/>
        <w:left w:val="none" w:sz="0" w:space="0" w:color="auto"/>
        <w:bottom w:val="none" w:sz="0" w:space="0" w:color="auto"/>
        <w:right w:val="none" w:sz="0" w:space="0" w:color="auto"/>
      </w:divBdr>
    </w:div>
    <w:div w:id="855575928">
      <w:bodyDiv w:val="1"/>
      <w:marLeft w:val="0"/>
      <w:marRight w:val="0"/>
      <w:marTop w:val="0"/>
      <w:marBottom w:val="0"/>
      <w:divBdr>
        <w:top w:val="none" w:sz="0" w:space="0" w:color="auto"/>
        <w:left w:val="none" w:sz="0" w:space="0" w:color="auto"/>
        <w:bottom w:val="none" w:sz="0" w:space="0" w:color="auto"/>
        <w:right w:val="none" w:sz="0" w:space="0" w:color="auto"/>
      </w:divBdr>
    </w:div>
    <w:div w:id="856384112">
      <w:bodyDiv w:val="1"/>
      <w:marLeft w:val="0"/>
      <w:marRight w:val="0"/>
      <w:marTop w:val="0"/>
      <w:marBottom w:val="0"/>
      <w:divBdr>
        <w:top w:val="none" w:sz="0" w:space="0" w:color="auto"/>
        <w:left w:val="none" w:sz="0" w:space="0" w:color="auto"/>
        <w:bottom w:val="none" w:sz="0" w:space="0" w:color="auto"/>
        <w:right w:val="none" w:sz="0" w:space="0" w:color="auto"/>
      </w:divBdr>
    </w:div>
    <w:div w:id="866020846">
      <w:bodyDiv w:val="1"/>
      <w:marLeft w:val="0"/>
      <w:marRight w:val="0"/>
      <w:marTop w:val="0"/>
      <w:marBottom w:val="0"/>
      <w:divBdr>
        <w:top w:val="none" w:sz="0" w:space="0" w:color="auto"/>
        <w:left w:val="none" w:sz="0" w:space="0" w:color="auto"/>
        <w:bottom w:val="none" w:sz="0" w:space="0" w:color="auto"/>
        <w:right w:val="none" w:sz="0" w:space="0" w:color="auto"/>
      </w:divBdr>
    </w:div>
    <w:div w:id="942999146">
      <w:bodyDiv w:val="1"/>
      <w:marLeft w:val="0"/>
      <w:marRight w:val="0"/>
      <w:marTop w:val="0"/>
      <w:marBottom w:val="0"/>
      <w:divBdr>
        <w:top w:val="none" w:sz="0" w:space="0" w:color="auto"/>
        <w:left w:val="none" w:sz="0" w:space="0" w:color="auto"/>
        <w:bottom w:val="none" w:sz="0" w:space="0" w:color="auto"/>
        <w:right w:val="none" w:sz="0" w:space="0" w:color="auto"/>
      </w:divBdr>
    </w:div>
    <w:div w:id="950942675">
      <w:bodyDiv w:val="1"/>
      <w:marLeft w:val="0"/>
      <w:marRight w:val="0"/>
      <w:marTop w:val="0"/>
      <w:marBottom w:val="0"/>
      <w:divBdr>
        <w:top w:val="none" w:sz="0" w:space="0" w:color="auto"/>
        <w:left w:val="none" w:sz="0" w:space="0" w:color="auto"/>
        <w:bottom w:val="none" w:sz="0" w:space="0" w:color="auto"/>
        <w:right w:val="none" w:sz="0" w:space="0" w:color="auto"/>
      </w:divBdr>
    </w:div>
    <w:div w:id="955064935">
      <w:bodyDiv w:val="1"/>
      <w:marLeft w:val="0"/>
      <w:marRight w:val="0"/>
      <w:marTop w:val="0"/>
      <w:marBottom w:val="0"/>
      <w:divBdr>
        <w:top w:val="none" w:sz="0" w:space="0" w:color="auto"/>
        <w:left w:val="none" w:sz="0" w:space="0" w:color="auto"/>
        <w:bottom w:val="none" w:sz="0" w:space="0" w:color="auto"/>
        <w:right w:val="none" w:sz="0" w:space="0" w:color="auto"/>
      </w:divBdr>
    </w:div>
    <w:div w:id="967928557">
      <w:bodyDiv w:val="1"/>
      <w:marLeft w:val="0"/>
      <w:marRight w:val="0"/>
      <w:marTop w:val="0"/>
      <w:marBottom w:val="0"/>
      <w:divBdr>
        <w:top w:val="none" w:sz="0" w:space="0" w:color="auto"/>
        <w:left w:val="none" w:sz="0" w:space="0" w:color="auto"/>
        <w:bottom w:val="none" w:sz="0" w:space="0" w:color="auto"/>
        <w:right w:val="none" w:sz="0" w:space="0" w:color="auto"/>
      </w:divBdr>
    </w:div>
    <w:div w:id="1003826543">
      <w:bodyDiv w:val="1"/>
      <w:marLeft w:val="0"/>
      <w:marRight w:val="0"/>
      <w:marTop w:val="0"/>
      <w:marBottom w:val="0"/>
      <w:divBdr>
        <w:top w:val="none" w:sz="0" w:space="0" w:color="auto"/>
        <w:left w:val="none" w:sz="0" w:space="0" w:color="auto"/>
        <w:bottom w:val="none" w:sz="0" w:space="0" w:color="auto"/>
        <w:right w:val="none" w:sz="0" w:space="0" w:color="auto"/>
      </w:divBdr>
    </w:div>
    <w:div w:id="1021467773">
      <w:bodyDiv w:val="1"/>
      <w:marLeft w:val="0"/>
      <w:marRight w:val="0"/>
      <w:marTop w:val="0"/>
      <w:marBottom w:val="0"/>
      <w:divBdr>
        <w:top w:val="none" w:sz="0" w:space="0" w:color="auto"/>
        <w:left w:val="none" w:sz="0" w:space="0" w:color="auto"/>
        <w:bottom w:val="none" w:sz="0" w:space="0" w:color="auto"/>
        <w:right w:val="none" w:sz="0" w:space="0" w:color="auto"/>
      </w:divBdr>
    </w:div>
    <w:div w:id="1036393992">
      <w:bodyDiv w:val="1"/>
      <w:marLeft w:val="0"/>
      <w:marRight w:val="0"/>
      <w:marTop w:val="0"/>
      <w:marBottom w:val="0"/>
      <w:divBdr>
        <w:top w:val="none" w:sz="0" w:space="0" w:color="auto"/>
        <w:left w:val="none" w:sz="0" w:space="0" w:color="auto"/>
        <w:bottom w:val="none" w:sz="0" w:space="0" w:color="auto"/>
        <w:right w:val="none" w:sz="0" w:space="0" w:color="auto"/>
      </w:divBdr>
    </w:div>
    <w:div w:id="1067654355">
      <w:bodyDiv w:val="1"/>
      <w:marLeft w:val="0"/>
      <w:marRight w:val="0"/>
      <w:marTop w:val="0"/>
      <w:marBottom w:val="0"/>
      <w:divBdr>
        <w:top w:val="none" w:sz="0" w:space="0" w:color="auto"/>
        <w:left w:val="none" w:sz="0" w:space="0" w:color="auto"/>
        <w:bottom w:val="none" w:sz="0" w:space="0" w:color="auto"/>
        <w:right w:val="none" w:sz="0" w:space="0" w:color="auto"/>
      </w:divBdr>
    </w:div>
    <w:div w:id="1081104481">
      <w:bodyDiv w:val="1"/>
      <w:marLeft w:val="0"/>
      <w:marRight w:val="0"/>
      <w:marTop w:val="0"/>
      <w:marBottom w:val="0"/>
      <w:divBdr>
        <w:top w:val="none" w:sz="0" w:space="0" w:color="auto"/>
        <w:left w:val="none" w:sz="0" w:space="0" w:color="auto"/>
        <w:bottom w:val="none" w:sz="0" w:space="0" w:color="auto"/>
        <w:right w:val="none" w:sz="0" w:space="0" w:color="auto"/>
      </w:divBdr>
    </w:div>
    <w:div w:id="1082604227">
      <w:bodyDiv w:val="1"/>
      <w:marLeft w:val="0"/>
      <w:marRight w:val="0"/>
      <w:marTop w:val="0"/>
      <w:marBottom w:val="0"/>
      <w:divBdr>
        <w:top w:val="none" w:sz="0" w:space="0" w:color="auto"/>
        <w:left w:val="none" w:sz="0" w:space="0" w:color="auto"/>
        <w:bottom w:val="none" w:sz="0" w:space="0" w:color="auto"/>
        <w:right w:val="none" w:sz="0" w:space="0" w:color="auto"/>
      </w:divBdr>
    </w:div>
    <w:div w:id="1123117638">
      <w:bodyDiv w:val="1"/>
      <w:marLeft w:val="0"/>
      <w:marRight w:val="0"/>
      <w:marTop w:val="0"/>
      <w:marBottom w:val="0"/>
      <w:divBdr>
        <w:top w:val="none" w:sz="0" w:space="0" w:color="auto"/>
        <w:left w:val="none" w:sz="0" w:space="0" w:color="auto"/>
        <w:bottom w:val="none" w:sz="0" w:space="0" w:color="auto"/>
        <w:right w:val="none" w:sz="0" w:space="0" w:color="auto"/>
      </w:divBdr>
    </w:div>
    <w:div w:id="1144658054">
      <w:bodyDiv w:val="1"/>
      <w:marLeft w:val="0"/>
      <w:marRight w:val="0"/>
      <w:marTop w:val="0"/>
      <w:marBottom w:val="0"/>
      <w:divBdr>
        <w:top w:val="none" w:sz="0" w:space="0" w:color="auto"/>
        <w:left w:val="none" w:sz="0" w:space="0" w:color="auto"/>
        <w:bottom w:val="none" w:sz="0" w:space="0" w:color="auto"/>
        <w:right w:val="none" w:sz="0" w:space="0" w:color="auto"/>
      </w:divBdr>
    </w:div>
    <w:div w:id="1170633393">
      <w:bodyDiv w:val="1"/>
      <w:marLeft w:val="0"/>
      <w:marRight w:val="0"/>
      <w:marTop w:val="0"/>
      <w:marBottom w:val="0"/>
      <w:divBdr>
        <w:top w:val="none" w:sz="0" w:space="0" w:color="auto"/>
        <w:left w:val="none" w:sz="0" w:space="0" w:color="auto"/>
        <w:bottom w:val="none" w:sz="0" w:space="0" w:color="auto"/>
        <w:right w:val="none" w:sz="0" w:space="0" w:color="auto"/>
      </w:divBdr>
    </w:div>
    <w:div w:id="1213730058">
      <w:bodyDiv w:val="1"/>
      <w:marLeft w:val="0"/>
      <w:marRight w:val="0"/>
      <w:marTop w:val="0"/>
      <w:marBottom w:val="0"/>
      <w:divBdr>
        <w:top w:val="none" w:sz="0" w:space="0" w:color="auto"/>
        <w:left w:val="none" w:sz="0" w:space="0" w:color="auto"/>
        <w:bottom w:val="none" w:sz="0" w:space="0" w:color="auto"/>
        <w:right w:val="none" w:sz="0" w:space="0" w:color="auto"/>
      </w:divBdr>
    </w:div>
    <w:div w:id="1217932387">
      <w:bodyDiv w:val="1"/>
      <w:marLeft w:val="0"/>
      <w:marRight w:val="0"/>
      <w:marTop w:val="0"/>
      <w:marBottom w:val="0"/>
      <w:divBdr>
        <w:top w:val="none" w:sz="0" w:space="0" w:color="auto"/>
        <w:left w:val="none" w:sz="0" w:space="0" w:color="auto"/>
        <w:bottom w:val="none" w:sz="0" w:space="0" w:color="auto"/>
        <w:right w:val="none" w:sz="0" w:space="0" w:color="auto"/>
      </w:divBdr>
    </w:div>
    <w:div w:id="1220626963">
      <w:bodyDiv w:val="1"/>
      <w:marLeft w:val="0"/>
      <w:marRight w:val="0"/>
      <w:marTop w:val="0"/>
      <w:marBottom w:val="0"/>
      <w:divBdr>
        <w:top w:val="none" w:sz="0" w:space="0" w:color="auto"/>
        <w:left w:val="none" w:sz="0" w:space="0" w:color="auto"/>
        <w:bottom w:val="none" w:sz="0" w:space="0" w:color="auto"/>
        <w:right w:val="none" w:sz="0" w:space="0" w:color="auto"/>
      </w:divBdr>
    </w:div>
    <w:div w:id="1239051495">
      <w:bodyDiv w:val="1"/>
      <w:marLeft w:val="0"/>
      <w:marRight w:val="0"/>
      <w:marTop w:val="0"/>
      <w:marBottom w:val="0"/>
      <w:divBdr>
        <w:top w:val="none" w:sz="0" w:space="0" w:color="auto"/>
        <w:left w:val="none" w:sz="0" w:space="0" w:color="auto"/>
        <w:bottom w:val="none" w:sz="0" w:space="0" w:color="auto"/>
        <w:right w:val="none" w:sz="0" w:space="0" w:color="auto"/>
      </w:divBdr>
    </w:div>
    <w:div w:id="1297833065">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
    <w:div w:id="1314989197">
      <w:bodyDiv w:val="1"/>
      <w:marLeft w:val="0"/>
      <w:marRight w:val="0"/>
      <w:marTop w:val="0"/>
      <w:marBottom w:val="0"/>
      <w:divBdr>
        <w:top w:val="none" w:sz="0" w:space="0" w:color="auto"/>
        <w:left w:val="none" w:sz="0" w:space="0" w:color="auto"/>
        <w:bottom w:val="none" w:sz="0" w:space="0" w:color="auto"/>
        <w:right w:val="none" w:sz="0" w:space="0" w:color="auto"/>
      </w:divBdr>
    </w:div>
    <w:div w:id="1334644422">
      <w:bodyDiv w:val="1"/>
      <w:marLeft w:val="0"/>
      <w:marRight w:val="0"/>
      <w:marTop w:val="0"/>
      <w:marBottom w:val="0"/>
      <w:divBdr>
        <w:top w:val="none" w:sz="0" w:space="0" w:color="auto"/>
        <w:left w:val="none" w:sz="0" w:space="0" w:color="auto"/>
        <w:bottom w:val="none" w:sz="0" w:space="0" w:color="auto"/>
        <w:right w:val="none" w:sz="0" w:space="0" w:color="auto"/>
      </w:divBdr>
    </w:div>
    <w:div w:id="1336299699">
      <w:bodyDiv w:val="1"/>
      <w:marLeft w:val="0"/>
      <w:marRight w:val="0"/>
      <w:marTop w:val="0"/>
      <w:marBottom w:val="0"/>
      <w:divBdr>
        <w:top w:val="none" w:sz="0" w:space="0" w:color="auto"/>
        <w:left w:val="none" w:sz="0" w:space="0" w:color="auto"/>
        <w:bottom w:val="none" w:sz="0" w:space="0" w:color="auto"/>
        <w:right w:val="none" w:sz="0" w:space="0" w:color="auto"/>
      </w:divBdr>
    </w:div>
    <w:div w:id="1343554088">
      <w:bodyDiv w:val="1"/>
      <w:marLeft w:val="0"/>
      <w:marRight w:val="0"/>
      <w:marTop w:val="0"/>
      <w:marBottom w:val="0"/>
      <w:divBdr>
        <w:top w:val="none" w:sz="0" w:space="0" w:color="auto"/>
        <w:left w:val="none" w:sz="0" w:space="0" w:color="auto"/>
        <w:bottom w:val="none" w:sz="0" w:space="0" w:color="auto"/>
        <w:right w:val="none" w:sz="0" w:space="0" w:color="auto"/>
      </w:divBdr>
    </w:div>
    <w:div w:id="1373309263">
      <w:bodyDiv w:val="1"/>
      <w:marLeft w:val="0"/>
      <w:marRight w:val="0"/>
      <w:marTop w:val="0"/>
      <w:marBottom w:val="0"/>
      <w:divBdr>
        <w:top w:val="none" w:sz="0" w:space="0" w:color="auto"/>
        <w:left w:val="none" w:sz="0" w:space="0" w:color="auto"/>
        <w:bottom w:val="none" w:sz="0" w:space="0" w:color="auto"/>
        <w:right w:val="none" w:sz="0" w:space="0" w:color="auto"/>
      </w:divBdr>
    </w:div>
    <w:div w:id="1401516038">
      <w:bodyDiv w:val="1"/>
      <w:marLeft w:val="0"/>
      <w:marRight w:val="0"/>
      <w:marTop w:val="0"/>
      <w:marBottom w:val="0"/>
      <w:divBdr>
        <w:top w:val="none" w:sz="0" w:space="0" w:color="auto"/>
        <w:left w:val="none" w:sz="0" w:space="0" w:color="auto"/>
        <w:bottom w:val="none" w:sz="0" w:space="0" w:color="auto"/>
        <w:right w:val="none" w:sz="0" w:space="0" w:color="auto"/>
      </w:divBdr>
    </w:div>
    <w:div w:id="1401519029">
      <w:bodyDiv w:val="1"/>
      <w:marLeft w:val="0"/>
      <w:marRight w:val="0"/>
      <w:marTop w:val="0"/>
      <w:marBottom w:val="0"/>
      <w:divBdr>
        <w:top w:val="none" w:sz="0" w:space="0" w:color="auto"/>
        <w:left w:val="none" w:sz="0" w:space="0" w:color="auto"/>
        <w:bottom w:val="none" w:sz="0" w:space="0" w:color="auto"/>
        <w:right w:val="none" w:sz="0" w:space="0" w:color="auto"/>
      </w:divBdr>
    </w:div>
    <w:div w:id="1404722845">
      <w:bodyDiv w:val="1"/>
      <w:marLeft w:val="0"/>
      <w:marRight w:val="0"/>
      <w:marTop w:val="0"/>
      <w:marBottom w:val="0"/>
      <w:divBdr>
        <w:top w:val="none" w:sz="0" w:space="0" w:color="auto"/>
        <w:left w:val="none" w:sz="0" w:space="0" w:color="auto"/>
        <w:bottom w:val="none" w:sz="0" w:space="0" w:color="auto"/>
        <w:right w:val="none" w:sz="0" w:space="0" w:color="auto"/>
      </w:divBdr>
    </w:div>
    <w:div w:id="1415514247">
      <w:bodyDiv w:val="1"/>
      <w:marLeft w:val="0"/>
      <w:marRight w:val="0"/>
      <w:marTop w:val="0"/>
      <w:marBottom w:val="0"/>
      <w:divBdr>
        <w:top w:val="none" w:sz="0" w:space="0" w:color="auto"/>
        <w:left w:val="none" w:sz="0" w:space="0" w:color="auto"/>
        <w:bottom w:val="none" w:sz="0" w:space="0" w:color="auto"/>
        <w:right w:val="none" w:sz="0" w:space="0" w:color="auto"/>
      </w:divBdr>
    </w:div>
    <w:div w:id="1417362181">
      <w:bodyDiv w:val="1"/>
      <w:marLeft w:val="0"/>
      <w:marRight w:val="0"/>
      <w:marTop w:val="0"/>
      <w:marBottom w:val="0"/>
      <w:divBdr>
        <w:top w:val="none" w:sz="0" w:space="0" w:color="auto"/>
        <w:left w:val="none" w:sz="0" w:space="0" w:color="auto"/>
        <w:bottom w:val="none" w:sz="0" w:space="0" w:color="auto"/>
        <w:right w:val="none" w:sz="0" w:space="0" w:color="auto"/>
      </w:divBdr>
    </w:div>
    <w:div w:id="1422143617">
      <w:bodyDiv w:val="1"/>
      <w:marLeft w:val="0"/>
      <w:marRight w:val="0"/>
      <w:marTop w:val="0"/>
      <w:marBottom w:val="0"/>
      <w:divBdr>
        <w:top w:val="none" w:sz="0" w:space="0" w:color="auto"/>
        <w:left w:val="none" w:sz="0" w:space="0" w:color="auto"/>
        <w:bottom w:val="none" w:sz="0" w:space="0" w:color="auto"/>
        <w:right w:val="none" w:sz="0" w:space="0" w:color="auto"/>
      </w:divBdr>
    </w:div>
    <w:div w:id="1433281535">
      <w:bodyDiv w:val="1"/>
      <w:marLeft w:val="0"/>
      <w:marRight w:val="0"/>
      <w:marTop w:val="0"/>
      <w:marBottom w:val="0"/>
      <w:divBdr>
        <w:top w:val="none" w:sz="0" w:space="0" w:color="auto"/>
        <w:left w:val="none" w:sz="0" w:space="0" w:color="auto"/>
        <w:bottom w:val="none" w:sz="0" w:space="0" w:color="auto"/>
        <w:right w:val="none" w:sz="0" w:space="0" w:color="auto"/>
      </w:divBdr>
    </w:div>
    <w:div w:id="1443568656">
      <w:bodyDiv w:val="1"/>
      <w:marLeft w:val="0"/>
      <w:marRight w:val="0"/>
      <w:marTop w:val="0"/>
      <w:marBottom w:val="0"/>
      <w:divBdr>
        <w:top w:val="none" w:sz="0" w:space="0" w:color="auto"/>
        <w:left w:val="none" w:sz="0" w:space="0" w:color="auto"/>
        <w:bottom w:val="none" w:sz="0" w:space="0" w:color="auto"/>
        <w:right w:val="none" w:sz="0" w:space="0" w:color="auto"/>
      </w:divBdr>
    </w:div>
    <w:div w:id="1464470118">
      <w:bodyDiv w:val="1"/>
      <w:marLeft w:val="0"/>
      <w:marRight w:val="0"/>
      <w:marTop w:val="0"/>
      <w:marBottom w:val="0"/>
      <w:divBdr>
        <w:top w:val="none" w:sz="0" w:space="0" w:color="auto"/>
        <w:left w:val="none" w:sz="0" w:space="0" w:color="auto"/>
        <w:bottom w:val="none" w:sz="0" w:space="0" w:color="auto"/>
        <w:right w:val="none" w:sz="0" w:space="0" w:color="auto"/>
      </w:divBdr>
    </w:div>
    <w:div w:id="1488322712">
      <w:bodyDiv w:val="1"/>
      <w:marLeft w:val="0"/>
      <w:marRight w:val="0"/>
      <w:marTop w:val="0"/>
      <w:marBottom w:val="0"/>
      <w:divBdr>
        <w:top w:val="none" w:sz="0" w:space="0" w:color="auto"/>
        <w:left w:val="none" w:sz="0" w:space="0" w:color="auto"/>
        <w:bottom w:val="none" w:sz="0" w:space="0" w:color="auto"/>
        <w:right w:val="none" w:sz="0" w:space="0" w:color="auto"/>
      </w:divBdr>
    </w:div>
    <w:div w:id="1492480070">
      <w:bodyDiv w:val="1"/>
      <w:marLeft w:val="0"/>
      <w:marRight w:val="0"/>
      <w:marTop w:val="0"/>
      <w:marBottom w:val="0"/>
      <w:divBdr>
        <w:top w:val="none" w:sz="0" w:space="0" w:color="auto"/>
        <w:left w:val="none" w:sz="0" w:space="0" w:color="auto"/>
        <w:bottom w:val="none" w:sz="0" w:space="0" w:color="auto"/>
        <w:right w:val="none" w:sz="0" w:space="0" w:color="auto"/>
      </w:divBdr>
    </w:div>
    <w:div w:id="1496067017">
      <w:bodyDiv w:val="1"/>
      <w:marLeft w:val="0"/>
      <w:marRight w:val="0"/>
      <w:marTop w:val="0"/>
      <w:marBottom w:val="0"/>
      <w:divBdr>
        <w:top w:val="none" w:sz="0" w:space="0" w:color="auto"/>
        <w:left w:val="none" w:sz="0" w:space="0" w:color="auto"/>
        <w:bottom w:val="none" w:sz="0" w:space="0" w:color="auto"/>
        <w:right w:val="none" w:sz="0" w:space="0" w:color="auto"/>
      </w:divBdr>
    </w:div>
    <w:div w:id="1500267337">
      <w:bodyDiv w:val="1"/>
      <w:marLeft w:val="0"/>
      <w:marRight w:val="0"/>
      <w:marTop w:val="0"/>
      <w:marBottom w:val="0"/>
      <w:divBdr>
        <w:top w:val="none" w:sz="0" w:space="0" w:color="auto"/>
        <w:left w:val="none" w:sz="0" w:space="0" w:color="auto"/>
        <w:bottom w:val="none" w:sz="0" w:space="0" w:color="auto"/>
        <w:right w:val="none" w:sz="0" w:space="0" w:color="auto"/>
      </w:divBdr>
    </w:div>
    <w:div w:id="1531258796">
      <w:bodyDiv w:val="1"/>
      <w:marLeft w:val="0"/>
      <w:marRight w:val="0"/>
      <w:marTop w:val="0"/>
      <w:marBottom w:val="0"/>
      <w:divBdr>
        <w:top w:val="none" w:sz="0" w:space="0" w:color="auto"/>
        <w:left w:val="none" w:sz="0" w:space="0" w:color="auto"/>
        <w:bottom w:val="none" w:sz="0" w:space="0" w:color="auto"/>
        <w:right w:val="none" w:sz="0" w:space="0" w:color="auto"/>
      </w:divBdr>
    </w:div>
    <w:div w:id="1540580457">
      <w:bodyDiv w:val="1"/>
      <w:marLeft w:val="0"/>
      <w:marRight w:val="0"/>
      <w:marTop w:val="0"/>
      <w:marBottom w:val="0"/>
      <w:divBdr>
        <w:top w:val="none" w:sz="0" w:space="0" w:color="auto"/>
        <w:left w:val="none" w:sz="0" w:space="0" w:color="auto"/>
        <w:bottom w:val="none" w:sz="0" w:space="0" w:color="auto"/>
        <w:right w:val="none" w:sz="0" w:space="0" w:color="auto"/>
      </w:divBdr>
    </w:div>
    <w:div w:id="1559171231">
      <w:bodyDiv w:val="1"/>
      <w:marLeft w:val="0"/>
      <w:marRight w:val="0"/>
      <w:marTop w:val="0"/>
      <w:marBottom w:val="0"/>
      <w:divBdr>
        <w:top w:val="none" w:sz="0" w:space="0" w:color="auto"/>
        <w:left w:val="none" w:sz="0" w:space="0" w:color="auto"/>
        <w:bottom w:val="none" w:sz="0" w:space="0" w:color="auto"/>
        <w:right w:val="none" w:sz="0" w:space="0" w:color="auto"/>
      </w:divBdr>
    </w:div>
    <w:div w:id="1570727045">
      <w:bodyDiv w:val="1"/>
      <w:marLeft w:val="0"/>
      <w:marRight w:val="0"/>
      <w:marTop w:val="0"/>
      <w:marBottom w:val="0"/>
      <w:divBdr>
        <w:top w:val="none" w:sz="0" w:space="0" w:color="auto"/>
        <w:left w:val="none" w:sz="0" w:space="0" w:color="auto"/>
        <w:bottom w:val="none" w:sz="0" w:space="0" w:color="auto"/>
        <w:right w:val="none" w:sz="0" w:space="0" w:color="auto"/>
      </w:divBdr>
    </w:div>
    <w:div w:id="1583248507">
      <w:bodyDiv w:val="1"/>
      <w:marLeft w:val="0"/>
      <w:marRight w:val="0"/>
      <w:marTop w:val="0"/>
      <w:marBottom w:val="0"/>
      <w:divBdr>
        <w:top w:val="none" w:sz="0" w:space="0" w:color="auto"/>
        <w:left w:val="none" w:sz="0" w:space="0" w:color="auto"/>
        <w:bottom w:val="none" w:sz="0" w:space="0" w:color="auto"/>
        <w:right w:val="none" w:sz="0" w:space="0" w:color="auto"/>
      </w:divBdr>
    </w:div>
    <w:div w:id="1627002653">
      <w:bodyDiv w:val="1"/>
      <w:marLeft w:val="0"/>
      <w:marRight w:val="0"/>
      <w:marTop w:val="0"/>
      <w:marBottom w:val="0"/>
      <w:divBdr>
        <w:top w:val="none" w:sz="0" w:space="0" w:color="auto"/>
        <w:left w:val="none" w:sz="0" w:space="0" w:color="auto"/>
        <w:bottom w:val="none" w:sz="0" w:space="0" w:color="auto"/>
        <w:right w:val="none" w:sz="0" w:space="0" w:color="auto"/>
      </w:divBdr>
    </w:div>
    <w:div w:id="1662542170">
      <w:bodyDiv w:val="1"/>
      <w:marLeft w:val="0"/>
      <w:marRight w:val="0"/>
      <w:marTop w:val="0"/>
      <w:marBottom w:val="0"/>
      <w:divBdr>
        <w:top w:val="none" w:sz="0" w:space="0" w:color="auto"/>
        <w:left w:val="none" w:sz="0" w:space="0" w:color="auto"/>
        <w:bottom w:val="none" w:sz="0" w:space="0" w:color="auto"/>
        <w:right w:val="none" w:sz="0" w:space="0" w:color="auto"/>
      </w:divBdr>
    </w:div>
    <w:div w:id="1684674035">
      <w:bodyDiv w:val="1"/>
      <w:marLeft w:val="0"/>
      <w:marRight w:val="0"/>
      <w:marTop w:val="0"/>
      <w:marBottom w:val="0"/>
      <w:divBdr>
        <w:top w:val="none" w:sz="0" w:space="0" w:color="auto"/>
        <w:left w:val="none" w:sz="0" w:space="0" w:color="auto"/>
        <w:bottom w:val="none" w:sz="0" w:space="0" w:color="auto"/>
        <w:right w:val="none" w:sz="0" w:space="0" w:color="auto"/>
      </w:divBdr>
    </w:div>
    <w:div w:id="1715538046">
      <w:bodyDiv w:val="1"/>
      <w:marLeft w:val="0"/>
      <w:marRight w:val="0"/>
      <w:marTop w:val="0"/>
      <w:marBottom w:val="0"/>
      <w:divBdr>
        <w:top w:val="none" w:sz="0" w:space="0" w:color="auto"/>
        <w:left w:val="none" w:sz="0" w:space="0" w:color="auto"/>
        <w:bottom w:val="none" w:sz="0" w:space="0" w:color="auto"/>
        <w:right w:val="none" w:sz="0" w:space="0" w:color="auto"/>
      </w:divBdr>
    </w:div>
    <w:div w:id="1760297717">
      <w:bodyDiv w:val="1"/>
      <w:marLeft w:val="0"/>
      <w:marRight w:val="0"/>
      <w:marTop w:val="0"/>
      <w:marBottom w:val="0"/>
      <w:divBdr>
        <w:top w:val="none" w:sz="0" w:space="0" w:color="auto"/>
        <w:left w:val="none" w:sz="0" w:space="0" w:color="auto"/>
        <w:bottom w:val="none" w:sz="0" w:space="0" w:color="auto"/>
        <w:right w:val="none" w:sz="0" w:space="0" w:color="auto"/>
      </w:divBdr>
    </w:div>
    <w:div w:id="1787233430">
      <w:bodyDiv w:val="1"/>
      <w:marLeft w:val="0"/>
      <w:marRight w:val="0"/>
      <w:marTop w:val="0"/>
      <w:marBottom w:val="0"/>
      <w:divBdr>
        <w:top w:val="none" w:sz="0" w:space="0" w:color="auto"/>
        <w:left w:val="none" w:sz="0" w:space="0" w:color="auto"/>
        <w:bottom w:val="none" w:sz="0" w:space="0" w:color="auto"/>
        <w:right w:val="none" w:sz="0" w:space="0" w:color="auto"/>
      </w:divBdr>
    </w:div>
    <w:div w:id="1799644083">
      <w:bodyDiv w:val="1"/>
      <w:marLeft w:val="0"/>
      <w:marRight w:val="0"/>
      <w:marTop w:val="0"/>
      <w:marBottom w:val="0"/>
      <w:divBdr>
        <w:top w:val="none" w:sz="0" w:space="0" w:color="auto"/>
        <w:left w:val="none" w:sz="0" w:space="0" w:color="auto"/>
        <w:bottom w:val="none" w:sz="0" w:space="0" w:color="auto"/>
        <w:right w:val="none" w:sz="0" w:space="0" w:color="auto"/>
      </w:divBdr>
    </w:div>
    <w:div w:id="1812089405">
      <w:bodyDiv w:val="1"/>
      <w:marLeft w:val="0"/>
      <w:marRight w:val="0"/>
      <w:marTop w:val="0"/>
      <w:marBottom w:val="0"/>
      <w:divBdr>
        <w:top w:val="none" w:sz="0" w:space="0" w:color="auto"/>
        <w:left w:val="none" w:sz="0" w:space="0" w:color="auto"/>
        <w:bottom w:val="none" w:sz="0" w:space="0" w:color="auto"/>
        <w:right w:val="none" w:sz="0" w:space="0" w:color="auto"/>
      </w:divBdr>
    </w:div>
    <w:div w:id="1818108013">
      <w:bodyDiv w:val="1"/>
      <w:marLeft w:val="0"/>
      <w:marRight w:val="0"/>
      <w:marTop w:val="0"/>
      <w:marBottom w:val="0"/>
      <w:divBdr>
        <w:top w:val="none" w:sz="0" w:space="0" w:color="auto"/>
        <w:left w:val="none" w:sz="0" w:space="0" w:color="auto"/>
        <w:bottom w:val="none" w:sz="0" w:space="0" w:color="auto"/>
        <w:right w:val="none" w:sz="0" w:space="0" w:color="auto"/>
      </w:divBdr>
    </w:div>
    <w:div w:id="1865824885">
      <w:bodyDiv w:val="1"/>
      <w:marLeft w:val="0"/>
      <w:marRight w:val="0"/>
      <w:marTop w:val="0"/>
      <w:marBottom w:val="0"/>
      <w:divBdr>
        <w:top w:val="none" w:sz="0" w:space="0" w:color="auto"/>
        <w:left w:val="none" w:sz="0" w:space="0" w:color="auto"/>
        <w:bottom w:val="none" w:sz="0" w:space="0" w:color="auto"/>
        <w:right w:val="none" w:sz="0" w:space="0" w:color="auto"/>
      </w:divBdr>
    </w:div>
    <w:div w:id="1890653241">
      <w:bodyDiv w:val="1"/>
      <w:marLeft w:val="0"/>
      <w:marRight w:val="0"/>
      <w:marTop w:val="0"/>
      <w:marBottom w:val="0"/>
      <w:divBdr>
        <w:top w:val="none" w:sz="0" w:space="0" w:color="auto"/>
        <w:left w:val="none" w:sz="0" w:space="0" w:color="auto"/>
        <w:bottom w:val="none" w:sz="0" w:space="0" w:color="auto"/>
        <w:right w:val="none" w:sz="0" w:space="0" w:color="auto"/>
      </w:divBdr>
    </w:div>
    <w:div w:id="1909991903">
      <w:bodyDiv w:val="1"/>
      <w:marLeft w:val="0"/>
      <w:marRight w:val="0"/>
      <w:marTop w:val="0"/>
      <w:marBottom w:val="0"/>
      <w:divBdr>
        <w:top w:val="none" w:sz="0" w:space="0" w:color="auto"/>
        <w:left w:val="none" w:sz="0" w:space="0" w:color="auto"/>
        <w:bottom w:val="none" w:sz="0" w:space="0" w:color="auto"/>
        <w:right w:val="none" w:sz="0" w:space="0" w:color="auto"/>
      </w:divBdr>
    </w:div>
    <w:div w:id="1915507412">
      <w:bodyDiv w:val="1"/>
      <w:marLeft w:val="0"/>
      <w:marRight w:val="0"/>
      <w:marTop w:val="0"/>
      <w:marBottom w:val="0"/>
      <w:divBdr>
        <w:top w:val="none" w:sz="0" w:space="0" w:color="auto"/>
        <w:left w:val="none" w:sz="0" w:space="0" w:color="auto"/>
        <w:bottom w:val="none" w:sz="0" w:space="0" w:color="auto"/>
        <w:right w:val="none" w:sz="0" w:space="0" w:color="auto"/>
      </w:divBdr>
    </w:div>
    <w:div w:id="1921326064">
      <w:bodyDiv w:val="1"/>
      <w:marLeft w:val="0"/>
      <w:marRight w:val="0"/>
      <w:marTop w:val="0"/>
      <w:marBottom w:val="0"/>
      <w:divBdr>
        <w:top w:val="none" w:sz="0" w:space="0" w:color="auto"/>
        <w:left w:val="none" w:sz="0" w:space="0" w:color="auto"/>
        <w:bottom w:val="none" w:sz="0" w:space="0" w:color="auto"/>
        <w:right w:val="none" w:sz="0" w:space="0" w:color="auto"/>
      </w:divBdr>
    </w:div>
    <w:div w:id="1932348131">
      <w:bodyDiv w:val="1"/>
      <w:marLeft w:val="0"/>
      <w:marRight w:val="0"/>
      <w:marTop w:val="0"/>
      <w:marBottom w:val="0"/>
      <w:divBdr>
        <w:top w:val="none" w:sz="0" w:space="0" w:color="auto"/>
        <w:left w:val="none" w:sz="0" w:space="0" w:color="auto"/>
        <w:bottom w:val="none" w:sz="0" w:space="0" w:color="auto"/>
        <w:right w:val="none" w:sz="0" w:space="0" w:color="auto"/>
      </w:divBdr>
    </w:div>
    <w:div w:id="1947075305">
      <w:bodyDiv w:val="1"/>
      <w:marLeft w:val="0"/>
      <w:marRight w:val="0"/>
      <w:marTop w:val="0"/>
      <w:marBottom w:val="0"/>
      <w:divBdr>
        <w:top w:val="none" w:sz="0" w:space="0" w:color="auto"/>
        <w:left w:val="none" w:sz="0" w:space="0" w:color="auto"/>
        <w:bottom w:val="none" w:sz="0" w:space="0" w:color="auto"/>
        <w:right w:val="none" w:sz="0" w:space="0" w:color="auto"/>
      </w:divBdr>
    </w:div>
    <w:div w:id="1950695037">
      <w:bodyDiv w:val="1"/>
      <w:marLeft w:val="0"/>
      <w:marRight w:val="0"/>
      <w:marTop w:val="0"/>
      <w:marBottom w:val="0"/>
      <w:divBdr>
        <w:top w:val="none" w:sz="0" w:space="0" w:color="auto"/>
        <w:left w:val="none" w:sz="0" w:space="0" w:color="auto"/>
        <w:bottom w:val="none" w:sz="0" w:space="0" w:color="auto"/>
        <w:right w:val="none" w:sz="0" w:space="0" w:color="auto"/>
      </w:divBdr>
    </w:div>
    <w:div w:id="1991053919">
      <w:bodyDiv w:val="1"/>
      <w:marLeft w:val="0"/>
      <w:marRight w:val="0"/>
      <w:marTop w:val="0"/>
      <w:marBottom w:val="0"/>
      <w:divBdr>
        <w:top w:val="none" w:sz="0" w:space="0" w:color="auto"/>
        <w:left w:val="none" w:sz="0" w:space="0" w:color="auto"/>
        <w:bottom w:val="none" w:sz="0" w:space="0" w:color="auto"/>
        <w:right w:val="none" w:sz="0" w:space="0" w:color="auto"/>
      </w:divBdr>
    </w:div>
    <w:div w:id="2007786587">
      <w:bodyDiv w:val="1"/>
      <w:marLeft w:val="0"/>
      <w:marRight w:val="0"/>
      <w:marTop w:val="0"/>
      <w:marBottom w:val="0"/>
      <w:divBdr>
        <w:top w:val="none" w:sz="0" w:space="0" w:color="auto"/>
        <w:left w:val="none" w:sz="0" w:space="0" w:color="auto"/>
        <w:bottom w:val="none" w:sz="0" w:space="0" w:color="auto"/>
        <w:right w:val="none" w:sz="0" w:space="0" w:color="auto"/>
      </w:divBdr>
    </w:div>
    <w:div w:id="2019623762">
      <w:bodyDiv w:val="1"/>
      <w:marLeft w:val="0"/>
      <w:marRight w:val="0"/>
      <w:marTop w:val="0"/>
      <w:marBottom w:val="0"/>
      <w:divBdr>
        <w:top w:val="none" w:sz="0" w:space="0" w:color="auto"/>
        <w:left w:val="none" w:sz="0" w:space="0" w:color="auto"/>
        <w:bottom w:val="none" w:sz="0" w:space="0" w:color="auto"/>
        <w:right w:val="none" w:sz="0" w:space="0" w:color="auto"/>
      </w:divBdr>
    </w:div>
    <w:div w:id="2033411957">
      <w:bodyDiv w:val="1"/>
      <w:marLeft w:val="0"/>
      <w:marRight w:val="0"/>
      <w:marTop w:val="0"/>
      <w:marBottom w:val="0"/>
      <w:divBdr>
        <w:top w:val="none" w:sz="0" w:space="0" w:color="auto"/>
        <w:left w:val="none" w:sz="0" w:space="0" w:color="auto"/>
        <w:bottom w:val="none" w:sz="0" w:space="0" w:color="auto"/>
        <w:right w:val="none" w:sz="0" w:space="0" w:color="auto"/>
      </w:divBdr>
    </w:div>
    <w:div w:id="2036415959">
      <w:bodyDiv w:val="1"/>
      <w:marLeft w:val="0"/>
      <w:marRight w:val="0"/>
      <w:marTop w:val="0"/>
      <w:marBottom w:val="0"/>
      <w:divBdr>
        <w:top w:val="none" w:sz="0" w:space="0" w:color="auto"/>
        <w:left w:val="none" w:sz="0" w:space="0" w:color="auto"/>
        <w:bottom w:val="none" w:sz="0" w:space="0" w:color="auto"/>
        <w:right w:val="none" w:sz="0" w:space="0" w:color="auto"/>
      </w:divBdr>
    </w:div>
    <w:div w:id="2063480417">
      <w:bodyDiv w:val="1"/>
      <w:marLeft w:val="0"/>
      <w:marRight w:val="0"/>
      <w:marTop w:val="0"/>
      <w:marBottom w:val="0"/>
      <w:divBdr>
        <w:top w:val="none" w:sz="0" w:space="0" w:color="auto"/>
        <w:left w:val="none" w:sz="0" w:space="0" w:color="auto"/>
        <w:bottom w:val="none" w:sz="0" w:space="0" w:color="auto"/>
        <w:right w:val="none" w:sz="0" w:space="0" w:color="auto"/>
      </w:divBdr>
    </w:div>
    <w:div w:id="2100323004">
      <w:bodyDiv w:val="1"/>
      <w:marLeft w:val="0"/>
      <w:marRight w:val="0"/>
      <w:marTop w:val="0"/>
      <w:marBottom w:val="0"/>
      <w:divBdr>
        <w:top w:val="none" w:sz="0" w:space="0" w:color="auto"/>
        <w:left w:val="none" w:sz="0" w:space="0" w:color="auto"/>
        <w:bottom w:val="none" w:sz="0" w:space="0" w:color="auto"/>
        <w:right w:val="none" w:sz="0" w:space="0" w:color="auto"/>
      </w:divBdr>
    </w:div>
    <w:div w:id="2100439989">
      <w:bodyDiv w:val="1"/>
      <w:marLeft w:val="0"/>
      <w:marRight w:val="0"/>
      <w:marTop w:val="0"/>
      <w:marBottom w:val="0"/>
      <w:divBdr>
        <w:top w:val="none" w:sz="0" w:space="0" w:color="auto"/>
        <w:left w:val="none" w:sz="0" w:space="0" w:color="auto"/>
        <w:bottom w:val="none" w:sz="0" w:space="0" w:color="auto"/>
        <w:right w:val="none" w:sz="0" w:space="0" w:color="auto"/>
      </w:divBdr>
    </w:div>
    <w:div w:id="2146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harrow.gov.uk/www2/documents/b24374/Supplemental%20Agenda%20Thursday%2015-Feb-2018%2018.30%20Cabinet.pdf?T=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www.harrow.gov.uk/www2/documents/g64376/Public%20reports%20pack%20Thursday%2012-Jul-2018%2018.30%20Cabinet.pdf?T=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9837-9A55-4ED1-8DF7-80C8B330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8196</Words>
  <Characters>43965</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52057</CharactersWithSpaces>
  <SharedDoc>false</SharedDoc>
  <HLinks>
    <vt:vector size="12" baseType="variant">
      <vt:variant>
        <vt:i4>3997821</vt:i4>
      </vt:variant>
      <vt:variant>
        <vt:i4>3</vt:i4>
      </vt:variant>
      <vt:variant>
        <vt:i4>0</vt:i4>
      </vt:variant>
      <vt:variant>
        <vt:i4>5</vt:i4>
      </vt:variant>
      <vt:variant>
        <vt:lpwstr>http://moderngov:8080/ieListDocuments.aspx?CId=249&amp;MId=61076&amp;Ver=4</vt:lpwstr>
      </vt:variant>
      <vt:variant>
        <vt:lpwstr/>
      </vt:variant>
      <vt:variant>
        <vt:i4>3735673</vt:i4>
      </vt:variant>
      <vt:variant>
        <vt:i4>0</vt:i4>
      </vt:variant>
      <vt:variant>
        <vt:i4>0</vt:i4>
      </vt:variant>
      <vt:variant>
        <vt:i4>5</vt:i4>
      </vt:variant>
      <vt:variant>
        <vt:lpwstr>http://moderngov:8080/ieListDocuments.aspx?CId=249&amp;MId=61436&amp;Ver=4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sdaniels</cp:lastModifiedBy>
  <cp:revision>7</cp:revision>
  <cp:lastPrinted>2018-11-16T15:02:00Z</cp:lastPrinted>
  <dcterms:created xsi:type="dcterms:W3CDTF">2018-11-27T11:42:00Z</dcterms:created>
  <dcterms:modified xsi:type="dcterms:W3CDTF">2018-11-27T15:53:00Z</dcterms:modified>
</cp:coreProperties>
</file>